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72" w:rsidRPr="00E27C82" w:rsidRDefault="00507C72" w:rsidP="00E27C82">
      <w:pPr>
        <w:spacing w:after="0"/>
        <w:rPr>
          <w:rFonts w:cstheme="minorHAnsi"/>
          <w:sz w:val="24"/>
          <w:szCs w:val="24"/>
        </w:rPr>
      </w:pPr>
    </w:p>
    <w:p w:rsidR="00A728DB" w:rsidRPr="00E27C82" w:rsidRDefault="00A728DB" w:rsidP="00E27C82">
      <w:pPr>
        <w:spacing w:after="0"/>
        <w:rPr>
          <w:rFonts w:cstheme="minorHAnsi"/>
          <w:sz w:val="24"/>
          <w:szCs w:val="24"/>
        </w:rPr>
      </w:pPr>
    </w:p>
    <w:p w:rsidR="0007178B" w:rsidRPr="00E27C82" w:rsidRDefault="0007178B" w:rsidP="00E27C82">
      <w:pPr>
        <w:spacing w:after="0"/>
        <w:rPr>
          <w:rFonts w:cstheme="minorHAnsi"/>
          <w:b/>
          <w:sz w:val="24"/>
          <w:szCs w:val="24"/>
        </w:rPr>
      </w:pPr>
      <w:r w:rsidRPr="00E27C82">
        <w:rPr>
          <w:rFonts w:eastAsia="Lucida Sans Unicode" w:cstheme="minorHAnsi"/>
          <w:b/>
          <w:sz w:val="24"/>
          <w:szCs w:val="24"/>
          <w:lang w:eastAsia="pl-PL" w:bidi="hi-IN"/>
        </w:rPr>
        <w:t xml:space="preserve">Znak sprawy: </w:t>
      </w:r>
      <w:r w:rsidR="00EA727D">
        <w:rPr>
          <w:rFonts w:eastAsia="Lucida Sans Unicode" w:cstheme="minorHAnsi"/>
          <w:b/>
          <w:sz w:val="24"/>
          <w:szCs w:val="24"/>
          <w:lang w:eastAsia="pl-PL" w:bidi="hi-IN"/>
        </w:rPr>
        <w:t>4</w:t>
      </w:r>
      <w:r w:rsidR="00356996">
        <w:rPr>
          <w:rFonts w:eastAsia="Lucida Sans Unicode" w:cstheme="minorHAnsi"/>
          <w:b/>
          <w:sz w:val="24"/>
          <w:szCs w:val="24"/>
          <w:lang w:eastAsia="pl-PL" w:bidi="hi-IN"/>
        </w:rPr>
        <w:t>/2022</w:t>
      </w:r>
      <w:r w:rsidR="008F35F0">
        <w:rPr>
          <w:rFonts w:cstheme="minorHAnsi"/>
          <w:b/>
          <w:sz w:val="24"/>
          <w:szCs w:val="24"/>
        </w:rPr>
        <w:tab/>
      </w:r>
      <w:r w:rsidR="008F35F0">
        <w:rPr>
          <w:rFonts w:cstheme="minorHAnsi"/>
          <w:b/>
          <w:sz w:val="24"/>
          <w:szCs w:val="24"/>
        </w:rPr>
        <w:tab/>
      </w:r>
      <w:r w:rsidR="008F35F0">
        <w:rPr>
          <w:rFonts w:cstheme="minorHAnsi"/>
          <w:b/>
          <w:sz w:val="24"/>
          <w:szCs w:val="24"/>
        </w:rPr>
        <w:tab/>
      </w:r>
      <w:r w:rsidRPr="00E27C82">
        <w:rPr>
          <w:rFonts w:cstheme="minorHAnsi"/>
          <w:b/>
          <w:sz w:val="24"/>
          <w:szCs w:val="24"/>
        </w:rPr>
        <w:t>Załącznik nr 3  do zapytania ofertowego</w:t>
      </w:r>
    </w:p>
    <w:p w:rsidR="0007178B" w:rsidRPr="00E27C82" w:rsidRDefault="0007178B" w:rsidP="00E27C82">
      <w:pPr>
        <w:widowControl w:val="0"/>
        <w:suppressAutoHyphens/>
        <w:spacing w:after="0"/>
        <w:textAlignment w:val="baseline"/>
        <w:rPr>
          <w:rFonts w:eastAsia="Lucida Sans Unicode" w:cstheme="minorHAnsi"/>
          <w:sz w:val="24"/>
          <w:szCs w:val="24"/>
          <w:lang w:eastAsia="pl-PL" w:bidi="hi-IN"/>
        </w:rPr>
      </w:pPr>
    </w:p>
    <w:p w:rsidR="008F35F0" w:rsidRDefault="008F35F0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86469" w:rsidRDefault="00986469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jc w:val="center"/>
        <w:rPr>
          <w:rFonts w:cstheme="minorHAnsi"/>
          <w:b/>
          <w:sz w:val="24"/>
          <w:szCs w:val="24"/>
        </w:rPr>
      </w:pPr>
      <w:r w:rsidRPr="00E27C82">
        <w:rPr>
          <w:rFonts w:cstheme="minorHAnsi"/>
          <w:b/>
          <w:sz w:val="24"/>
          <w:szCs w:val="24"/>
        </w:rPr>
        <w:t>Opis równoważności oprogramowania</w:t>
      </w:r>
    </w:p>
    <w:p w:rsidR="00A81382" w:rsidRPr="00E27C82" w:rsidRDefault="00A81382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E27C82">
        <w:rPr>
          <w:rFonts w:cstheme="minorHAnsi"/>
          <w:b/>
          <w:sz w:val="24"/>
          <w:szCs w:val="24"/>
          <w:u w:val="single"/>
        </w:rPr>
        <w:t>Pakiet biurowy</w:t>
      </w:r>
    </w:p>
    <w:p w:rsidR="00986469" w:rsidRPr="00E27C82" w:rsidRDefault="00986469" w:rsidP="00E27C82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licencje pakietu </w:t>
      </w:r>
      <w:r w:rsidRPr="004D7EB8">
        <w:rPr>
          <w:rFonts w:cstheme="minorHAnsi"/>
          <w:sz w:val="24"/>
          <w:szCs w:val="24"/>
        </w:rPr>
        <w:t>MS Office Standard 2021 - Pakiet Office Standard Education 2021 PL z licencją EDU dla szkół bezterminową.</w:t>
      </w: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może dostarczyć rozwiązanie równoważne spełniające </w:t>
      </w:r>
      <w:r w:rsidRPr="00BF332C">
        <w:rPr>
          <w:sz w:val="24"/>
          <w:szCs w:val="24"/>
        </w:rPr>
        <w:t>następujące wymagania poprzez wbudowane mechanizmy, bez użycia dodatkowych aplikacji: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 ramach licencji zapewnione ma zostać: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stały dostęp do najnowszych aktualizacji zakupionej wersji oprogramowania,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Wymagania odnośnie interfejsu użytkownika: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ełna polska wersja językowa interfejsu użytkownika.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rostota i intuicyjność obsługi, pozwalająca na pracę osobom nieposiadającym umiejętności technicznych.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Oprogramowanie musi umożliwiać tworzenie i edycję dokumentów elektronicznych w ustalonym standardzie, który spełnia następujące warunki: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posiada kompletny i publicznie dostępny opis formatu,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 ze zm.),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umożliwia kreowanie plików w formacie XML,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Do aplikacji musi być dostępna pełna dokumentacja w języku polskim.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Pakiet zintegrowanych aplikacji biurowych musi zawierać</w:t>
      </w:r>
      <w:r w:rsidR="00FD273D">
        <w:rPr>
          <w:sz w:val="24"/>
          <w:szCs w:val="24"/>
        </w:rPr>
        <w:t xml:space="preserve"> przynajmniej</w:t>
      </w:r>
      <w:bookmarkStart w:id="0" w:name="_GoBack"/>
      <w:bookmarkEnd w:id="0"/>
      <w:r w:rsidRPr="00255B1D">
        <w:rPr>
          <w:sz w:val="24"/>
          <w:szCs w:val="24"/>
        </w:rPr>
        <w:t>: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Edytor tekstów,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Arkusz kalkulacyjny,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prezentacji,</w:t>
      </w:r>
    </w:p>
    <w:p w:rsidR="00986469" w:rsidRPr="00A96044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zarządzania informacją prywatną (pocztą elektroniczną, kalendarzem, kontaktami i zadaniami),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Edytor tekstów musi umożliwiać: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lastRenderedPageBreak/>
        <w:t>Edycję i formatowanie tekstu w języku angielskim wraz z obsługą języka angielskiego w</w:t>
      </w:r>
      <w:r w:rsidR="00A21206">
        <w:rPr>
          <w:sz w:val="24"/>
          <w:szCs w:val="24"/>
        </w:rPr>
        <w:t> </w:t>
      </w:r>
      <w:r w:rsidRPr="00A96044">
        <w:rPr>
          <w:sz w:val="24"/>
          <w:szCs w:val="24"/>
        </w:rPr>
        <w:t>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tabel.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obiektów graficznych.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wykresów i tabel z arkusza kalkulacyjnego (wliczając tabele przestawne).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numerowanie rozdziałów, punktów, akapitów, tabel i rysunków.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tworzenie spisów treści.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nagłówków i stopek stron.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Śledzenie i porównywanie zmian wprowadzonych przez użytkowników w dokumencie.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Zapamiętywanie i wskazywanie miejsca, w którym zakończona była edycja dokumentu przed jego uprzednim zamknięciem.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Określenie układu strony (pionowa/pozioma).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Wydruk dokumentów.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korespondencji seryjnej bazując na danych adresowych pochodzących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arkusza kalkulacyjnego i z narzędzia do zarządzania informacją prywatną.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Pracę na dokumentach utworzonych przy pomocy Microsoft Word 2010, 2013, 2016, 2019 i 365 z zapewnieniem bezproblemowej konwersji wszystkich elementów i atrybutów dokumentu.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Zapis i edycję plików w formacie PDF,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modyfikacji.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ind w:left="709"/>
        <w:rPr>
          <w:sz w:val="24"/>
          <w:szCs w:val="24"/>
        </w:rPr>
      </w:pPr>
      <w:r w:rsidRPr="00A96044">
        <w:rPr>
          <w:sz w:val="24"/>
          <w:szCs w:val="24"/>
        </w:rPr>
        <w:t>Arkusz kalkulacyjny musi umożliwiać: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tabelarycznych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liniowych (wraz linią trendu), słupkowych, kołowych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z zewnętrznych źródeł danych (inne arkusze kalkulacyjne, bazy danych zgodne z ODBC, pliki tekstowe, pliki XML, webservice)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Obsługę kostek OLAP oraz tworzenie i edycję kwerend bazodanowych i webowych. Narzędzia wspomagające analizę statystyczną i finansową, analizę wariantową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rozwiązywanie problemów optymalizacyjnych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tabeli przestawnych umożliwiających dynamiczną zmianę wymiarów oraz wykresów bazujących na danych z tabeli przestawnych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Wyszukiwanie i zamianę danych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analiz danych przy użyciu formatowania warunkowego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prognoz i trendów na podstawie danych historycznych z użyciem algorytmu ETS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Nazywanie komórek arkusza i odwoływanie się w formułach po takiej nazwie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czasu, daty i wartości finansowych z polskim formatem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Zapis wielu arkuszy kalkulacyjnych w jednym pliku.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lastRenderedPageBreak/>
        <w:t>Inteligentne uzupełnianie komórek w kolumnie według rozpoznanych wzorców, wraz z ich możliwością poprawiania poprzez modyfikację proponowanych formuł.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Możliwość przedstawienia różnych wykresów przed ich finalnym wyborem (tylko po najechaniu znacznikiem myszy na dany rodzaj wykresu).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Zachowanie pełnej zgodności z formatami plików utworzonych za pomocą oprogramowania Microsoft Excel 2010, 2013, 2016, 2019, 365 z uwzględnieniem poprawnej realizacji użytych w nich funkcji specjalnych i makropoleceń.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 musi umożliwiać: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Przygotowywanie prezentacji multimedialnych, które będą: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Prezentowanie przy użyciu projektora multimedialnego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Drukowanie w formacie umożliwiającym robienie notatek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Zapisanie, jako prezentacja tylko do odczytu.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Nagrywanie narracji i dołączanie jej do prezentacji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Opatrywanie slajdów notatkami dla prezentera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i formatowanie tekstów, obiektów graficznych, tabel, nagrań dźwiękowych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wideo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tabel i wykresów pochodzących z arkusza kalkulacyjnego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Odświeżenie wykresu znajdującego się w prezentacji po zmianie danych w źródłowym arkuszu kalkulacyjnym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Możliwość tworzenia animacji obiektów i całych slajdów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Prowadzenie prezentacji w trybie prezentera, gdzie slajdy są widoczne na jednym monitorze lub projektorze, a na drugim widoczne są slajdy i notatki prezentera,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możliwością podglądu następnego slajdu.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Pełna zgodność z formatami plików utworzonych za pomocą oprogramowania MS PowerPoint 2010, 2013, 2016, 2019 i 365.</w:t>
      </w:r>
    </w:p>
    <w:p w:rsidR="00986469" w:rsidRPr="006213E0" w:rsidRDefault="00986469" w:rsidP="00986469">
      <w:pPr>
        <w:pStyle w:val="Akapitzlis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6213E0">
        <w:rPr>
          <w:sz w:val="24"/>
          <w:szCs w:val="24"/>
        </w:rPr>
        <w:t>Narzędzie do zarządzania informacją prywatną (pocztą elektroniczną, kalendarzem, kontaktami i</w:t>
      </w:r>
      <w:r w:rsidR="00557ECF">
        <w:rPr>
          <w:sz w:val="24"/>
          <w:szCs w:val="24"/>
        </w:rPr>
        <w:t> </w:t>
      </w:r>
      <w:r w:rsidRPr="006213E0">
        <w:rPr>
          <w:sz w:val="24"/>
          <w:szCs w:val="24"/>
        </w:rPr>
        <w:t>zadaniami) musi umożliwiać: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Pobieranie i wysyłanie poczty elektronicznej z serwera pocztowego,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Przechowywanie wiadomości na serwerze lub w lokalnym pliku tworzonym z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zastosowaniem efektywnej kompresji danych,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Filtrowanie niechcianej poczty elektronicznej (SPAM) oraz określanie listy zablokowanych i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bezpiecznych nadawców,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katalogów, pozwalających katalogować pocztę elektroniczną,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Automatyczne grupowanie poczty o tym samym tytule,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reguł przenoszących automatycznie nową pocztę elektroniczną do określonych katalogów bazując na słowach zawartych w tytule, adresie nadawcy i odbiorcy,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Oflagowanie poczty elektronicznej z określeniem terminu przypomnienia, oddzielnie dla nadawcy i adresatów,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Mechanizm ustalania liczby wiadomości, które mają być synchronizowane lokalnie,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kalendarzem,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Udostępnianie kalendarza innym użytkownikom z możliwością określania uprawnień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lastRenderedPageBreak/>
        <w:t>Przeglądanie kalendarza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Zapraszanie uczestników na spotkanie, co po ich akceptacji powoduje automatyczne wprowadzenie spotkania w ich kalendarzach,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zadań,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Zlecanie zadań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kontaktów,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Udostępnianie listy kontaktów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Przeglądanie listy kontaktów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Możliwość przesyłania kontaktów innym użytkowników,</w:t>
      </w:r>
    </w:p>
    <w:p w:rsidR="00986469" w:rsidRPr="000A6312" w:rsidRDefault="00986469" w:rsidP="00986469">
      <w:pPr>
        <w:pStyle w:val="Akapitzlist"/>
        <w:numPr>
          <w:ilvl w:val="0"/>
          <w:numId w:val="6"/>
        </w:numPr>
        <w:spacing w:after="0"/>
        <w:ind w:left="426" w:hanging="284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Równoważność, o której mowa w pkt. 2 oznacza, że zaproponowany pakiet będzie spełniał następujące warunki: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warunki licencji w każdym aspekcie licencjonowania nie są gorsze niż licencja produktu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funkcjonalność pakietu równoważnego nie może być gorsza od funkcjonalności pakietu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pakiet równoważny musi zapewniać pełną, równoległą współpracę i pełną funkcjonalną zamienność z pakietem wymienionym w pkt. 1.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Pr="00A81382" w:rsidRDefault="00A81382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A81382">
        <w:rPr>
          <w:rFonts w:cstheme="minorHAnsi"/>
          <w:b/>
          <w:sz w:val="24"/>
          <w:szCs w:val="24"/>
          <w:u w:val="single"/>
        </w:rPr>
        <w:t>System operacyjny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C42778" w:rsidRPr="00007C05" w:rsidRDefault="00C42778" w:rsidP="00007C05">
      <w:pPr>
        <w:spacing w:after="0"/>
        <w:jc w:val="both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</w:t>
      </w:r>
      <w:r w:rsidRPr="00007C05">
        <w:rPr>
          <w:rFonts w:cstheme="minorHAnsi"/>
          <w:sz w:val="24"/>
          <w:szCs w:val="24"/>
        </w:rPr>
        <w:t>licencje oprogramowania typu MS Windows 10 Professional 64bit PL lub równoważne, spełniające poniższe warunki: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System operacyjny dla komputerów stacjonarnych, z graficznym interfejsem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Zlokalizowane w języku polskim, co najmniej następujące elementy: menu, odtwarzacz multimediów, pomoc, komunikaty systemowe,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Wbudowany system pomocy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Graficzne środowisko instalacji i konfiguracji dostępne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bezpłatnych aktualizacji i poprawek w ramach wersji systemu operacyjnego poprzez Internet, mechanizmem udostępnianym przez producenta systemu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możliwością wyboru instalowanych poprawek oraz mechanizmem sprawdzającym, które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poprawek są potrzebne,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aktualizacji i poprawek systemu poprzez mechanizm zarządzany przez administratora systemu Zamawiającego,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Dostępność bezpłatnych biuletynów bezpieczeństwa związanych z działaniem systemu operacyjnego,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Wbudowana zapora internetowa (firewall) dla ochrony połączeń internetowych; zintegrowana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systemem konsola do zarządzania ustawieniami zapory i regułami IP v4 i v6;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mechanizmy ochrony antywirusowej i przeciw złośliwemu oprogramowaniu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zapewnionymi bezpłatnymi aktualizacjami,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większości powszechnie używanych urządzeń peryferyjnych (drukarek, urządzeń sieciowych, standardów USB, Plug&amp;Play, Wi-Fi),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Funkcjonalność automatycznej zmiany domyślnej drukarki w zależności od sieci, do której podłączony jest komputer,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lastRenderedPageBreak/>
        <w:t>Rozbudowane, definiowalne polityki bezpieczeństwa – polityki dla systemu operacyjnego i dla wskazanych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zdalnej automatycznej instalacji, konfiguracji, administrowania oraz aktualizowania systemu, zgodnie z określonymi uprawnieniami poprzez polityki grupowe,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operacyjnym moduł synchronizacji komputera z urządzeniami zewnętrznymi.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przystosowania stanowiska dla osób niepełnosprawnych (np. słabo widzących);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IPSEC oparte na politykach – wdrażanie IPSEC oparte na zestawach reguł definiujących ustawienia zarządzanych w sposób centralny;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logowania do domeny w oparciu o: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Login i hasło,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Karty z certyfikatami (smartcard),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Wirtualne karty (logowanie w oparciu o certyfikat chroniony poprzez moduł TPM),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wieloelementowego uwierzytelniania.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do uwierzytelnienia urządzenia na bazie certyfikatu,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środowisk Java i .NET Framework 4.x – możliwość uruchomienia aplikacji działających we wskazanych środowiskach,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JScript i VBScript – możliwość uruchamiania interpretera poleceń,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służące do automatycznego zbudowania obrazu systemu wraz z aplikacjami. Obraz systemu służyć ma do automatycznego upowszechnienia systemu operacyjnego inicjowanego i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wykonywanego w całości poprzez sieć komputerową,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ma umożliwiające wdrożenie nowego obrazu poprzez zdalną instalację,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Transakcyjny system plików pozwalający na stosowanie przydziałów (ang. quota) na dysku dla użytkowników oraz zapewniający większą niezawodność i pozwalający tworzyć kopie zapasowe,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Zarządzanie kontami użytkowników sieci oraz urządzeniami sieciowymi tj. drukarki, modemy, woluminy dyskowe, usługi katalogowe.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przywracania obrazu plików systemowych do uprzednio zapisanej postaci,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Identyfikacja sieci komputerowych, do których jest podłączony system operacyjny, zapamiętywanie ustawień i przypisywanie do min. 3 kategorii bezpieczeństwa (z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predefiniowanymi odpowiednio do kategorii ustawieniami zapory sieciowej, udostępniania plików itp.),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lastRenderedPageBreak/>
        <w:t>Wbudowany mechanizm wirtualizacji typu hypervisor, umożliwiający, zgodnie z uprawnieniami licencyjnymi, uruchomienie do 4 maszyn wirtualnych,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 szyfrowania dysków wewnętrznych i zewnętrznych z możliwością szyfrowania ograniczonego do danych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tworzenia i przechowywania kopii zapasowych kluczy odzyskiwania do szyfrowania partycji w usługach katalogowych.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Default="00966D7A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sectPr w:rsidR="00011162" w:rsidSect="00986469">
      <w:headerReference w:type="even" r:id="rId8"/>
      <w:headerReference w:type="default" r:id="rId9"/>
      <w:headerReference w:type="first" r:id="rId10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F3" w:rsidRDefault="00EA78F3" w:rsidP="00975135">
      <w:pPr>
        <w:spacing w:after="0" w:line="240" w:lineRule="auto"/>
      </w:pPr>
      <w:r>
        <w:separator/>
      </w:r>
    </w:p>
  </w:endnote>
  <w:endnote w:type="continuationSeparator" w:id="1">
    <w:p w:rsidR="00EA78F3" w:rsidRDefault="00EA78F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F3" w:rsidRDefault="00EA78F3" w:rsidP="00975135">
      <w:pPr>
        <w:spacing w:after="0" w:line="240" w:lineRule="auto"/>
      </w:pPr>
      <w:r>
        <w:separator/>
      </w:r>
    </w:p>
  </w:footnote>
  <w:footnote w:type="continuationSeparator" w:id="1">
    <w:p w:rsidR="00EA78F3" w:rsidRDefault="00EA78F3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CD" w:rsidRDefault="004C2E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35" w:rsidRDefault="004C2E13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4" type="#_x0000_t202" style="position:absolute;margin-left:12.5pt;margin-top:40.3pt;width:460.35pt;height:28.9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<v:textbox>
            <w:txbxContent>
              <w:p w:rsidR="00975135" w:rsidRPr="00975135" w:rsidRDefault="00975135">
                <w:pPr>
                  <w:rPr>
                    <w:rFonts w:ascii="Minion Pro" w:hAnsi="Minion Pro"/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  <w:r w:rsidR="00AE375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CD" w:rsidRDefault="004C2E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CC6"/>
    <w:multiLevelType w:val="hybridMultilevel"/>
    <w:tmpl w:val="D22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8A6"/>
    <w:multiLevelType w:val="hybridMultilevel"/>
    <w:tmpl w:val="23049D7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E7D04B6"/>
    <w:multiLevelType w:val="hybridMultilevel"/>
    <w:tmpl w:val="ADF62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E3E"/>
    <w:multiLevelType w:val="hybridMultilevel"/>
    <w:tmpl w:val="803AD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0D2"/>
    <w:multiLevelType w:val="hybridMultilevel"/>
    <w:tmpl w:val="15664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D298E"/>
    <w:multiLevelType w:val="hybridMultilevel"/>
    <w:tmpl w:val="C2AA9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8675EE"/>
    <w:multiLevelType w:val="hybridMultilevel"/>
    <w:tmpl w:val="0F047A6E"/>
    <w:lvl w:ilvl="0" w:tplc="809EA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57AA0"/>
    <w:multiLevelType w:val="hybridMultilevel"/>
    <w:tmpl w:val="E7D2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72EE"/>
    <w:multiLevelType w:val="hybridMultilevel"/>
    <w:tmpl w:val="ABF0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46B7E"/>
    <w:multiLevelType w:val="hybridMultilevel"/>
    <w:tmpl w:val="0770B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4AFB"/>
    <w:multiLevelType w:val="hybridMultilevel"/>
    <w:tmpl w:val="8064D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1CBD"/>
    <w:multiLevelType w:val="hybridMultilevel"/>
    <w:tmpl w:val="8E12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D7064"/>
    <w:multiLevelType w:val="hybridMultilevel"/>
    <w:tmpl w:val="51F0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1AF9"/>
    <w:multiLevelType w:val="hybridMultilevel"/>
    <w:tmpl w:val="97F2B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5135"/>
    <w:rsid w:val="00007C05"/>
    <w:rsid w:val="00011162"/>
    <w:rsid w:val="0007178B"/>
    <w:rsid w:val="00086C22"/>
    <w:rsid w:val="000A55BF"/>
    <w:rsid w:val="000E025D"/>
    <w:rsid w:val="0010627A"/>
    <w:rsid w:val="0013681E"/>
    <w:rsid w:val="00164435"/>
    <w:rsid w:val="0019631E"/>
    <w:rsid w:val="00224584"/>
    <w:rsid w:val="00245D09"/>
    <w:rsid w:val="002479FA"/>
    <w:rsid w:val="00350944"/>
    <w:rsid w:val="00356996"/>
    <w:rsid w:val="003613C7"/>
    <w:rsid w:val="00386001"/>
    <w:rsid w:val="003D0533"/>
    <w:rsid w:val="003F4CC7"/>
    <w:rsid w:val="004C2E13"/>
    <w:rsid w:val="004D7975"/>
    <w:rsid w:val="00507C72"/>
    <w:rsid w:val="00557ECF"/>
    <w:rsid w:val="005701A4"/>
    <w:rsid w:val="00590C69"/>
    <w:rsid w:val="0063590F"/>
    <w:rsid w:val="006544B5"/>
    <w:rsid w:val="00656FA4"/>
    <w:rsid w:val="006C17FE"/>
    <w:rsid w:val="006E6F38"/>
    <w:rsid w:val="006F49EF"/>
    <w:rsid w:val="00741ACD"/>
    <w:rsid w:val="00780F09"/>
    <w:rsid w:val="007D719E"/>
    <w:rsid w:val="007E2FC9"/>
    <w:rsid w:val="00830C9D"/>
    <w:rsid w:val="00896655"/>
    <w:rsid w:val="008B3553"/>
    <w:rsid w:val="008F35F0"/>
    <w:rsid w:val="00957FC8"/>
    <w:rsid w:val="009628F6"/>
    <w:rsid w:val="00966D7A"/>
    <w:rsid w:val="00975135"/>
    <w:rsid w:val="00986469"/>
    <w:rsid w:val="009A1827"/>
    <w:rsid w:val="00A21206"/>
    <w:rsid w:val="00A647AD"/>
    <w:rsid w:val="00A728DB"/>
    <w:rsid w:val="00A81382"/>
    <w:rsid w:val="00A952BA"/>
    <w:rsid w:val="00AC354D"/>
    <w:rsid w:val="00AE3754"/>
    <w:rsid w:val="00AE56C5"/>
    <w:rsid w:val="00B11FCD"/>
    <w:rsid w:val="00B23EAE"/>
    <w:rsid w:val="00BC2F31"/>
    <w:rsid w:val="00C214EA"/>
    <w:rsid w:val="00C42778"/>
    <w:rsid w:val="00C6165B"/>
    <w:rsid w:val="00CB08F2"/>
    <w:rsid w:val="00DC564F"/>
    <w:rsid w:val="00DE2264"/>
    <w:rsid w:val="00E00673"/>
    <w:rsid w:val="00E20F09"/>
    <w:rsid w:val="00E27C82"/>
    <w:rsid w:val="00E933C0"/>
    <w:rsid w:val="00EA727D"/>
    <w:rsid w:val="00EA78F3"/>
    <w:rsid w:val="00ED3920"/>
    <w:rsid w:val="00F31059"/>
    <w:rsid w:val="00F31766"/>
    <w:rsid w:val="00F411C8"/>
    <w:rsid w:val="00F52A93"/>
    <w:rsid w:val="00FC15BD"/>
    <w:rsid w:val="00FD273D"/>
    <w:rsid w:val="00FD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59F6-3EBE-4C45-850F-2817BE2F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KsPa</cp:lastModifiedBy>
  <cp:revision>7</cp:revision>
  <cp:lastPrinted>2022-03-10T07:48:00Z</cp:lastPrinted>
  <dcterms:created xsi:type="dcterms:W3CDTF">2022-03-10T08:37:00Z</dcterms:created>
  <dcterms:modified xsi:type="dcterms:W3CDTF">2022-04-19T12:03:00Z</dcterms:modified>
</cp:coreProperties>
</file>