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D1" w:rsidRDefault="00AB02D1" w:rsidP="00B47653">
      <w:pPr>
        <w:spacing w:after="0" w:line="271" w:lineRule="auto"/>
        <w:ind w:left="-15" w:right="140" w:firstLine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="00E82A7E">
        <w:rPr>
          <w:b/>
        </w:rPr>
        <w:t xml:space="preserve">                                                                       </w:t>
      </w:r>
      <w:r>
        <w:rPr>
          <w:b/>
        </w:rPr>
        <w:t xml:space="preserve">  </w:t>
      </w:r>
      <w:r w:rsidR="00BD3193">
        <w:rPr>
          <w:b/>
        </w:rPr>
        <w:t>Załącznik nr 1</w:t>
      </w:r>
      <w:r w:rsidR="001B2112">
        <w:rPr>
          <w:b/>
        </w:rPr>
        <w:t xml:space="preserve"> </w:t>
      </w:r>
    </w:p>
    <w:p w:rsidR="004A4B8F" w:rsidRPr="004A4B8F" w:rsidRDefault="004A4B8F">
      <w:pPr>
        <w:spacing w:after="0" w:line="259" w:lineRule="auto"/>
        <w:ind w:left="0" w:firstLine="0"/>
        <w:jc w:val="left"/>
        <w:rPr>
          <w:b/>
          <w:i/>
        </w:rPr>
      </w:pPr>
    </w:p>
    <w:p w:rsidR="00FA7799" w:rsidRDefault="001B211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FA7799" w:rsidRDefault="001B2112">
      <w:pPr>
        <w:spacing w:after="21" w:line="259" w:lineRule="auto"/>
        <w:ind w:left="-5" w:hanging="10"/>
        <w:jc w:val="left"/>
      </w:pPr>
      <w:r>
        <w:rPr>
          <w:sz w:val="22"/>
        </w:rPr>
        <w:t xml:space="preserve">_________________________ </w:t>
      </w:r>
    </w:p>
    <w:p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pieczęć nagłówkowa wykonawcy </w:t>
      </w:r>
    </w:p>
    <w:p w:rsidR="00FA7799" w:rsidRDefault="001B2112">
      <w:pPr>
        <w:spacing w:after="0" w:line="259" w:lineRule="auto"/>
        <w:ind w:left="0" w:right="99" w:firstLine="0"/>
        <w:jc w:val="center"/>
      </w:pPr>
      <w:r>
        <w:rPr>
          <w:b/>
        </w:rPr>
        <w:t xml:space="preserve"> </w:t>
      </w:r>
    </w:p>
    <w:p w:rsidR="00FA7799" w:rsidRDefault="00F9730B">
      <w:pPr>
        <w:pStyle w:val="Nagwek1"/>
        <w:ind w:left="339" w:right="490"/>
      </w:pPr>
      <w:r>
        <w:t>FORMULARZ  OFERTOWY</w:t>
      </w:r>
      <w:r w:rsidR="001B2112"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846" w:type="dxa"/>
        <w:tblInd w:w="-70" w:type="dxa"/>
        <w:tblCellMar>
          <w:top w:w="8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230"/>
        <w:gridCol w:w="2328"/>
        <w:gridCol w:w="2326"/>
        <w:gridCol w:w="2962"/>
      </w:tblGrid>
      <w:tr w:rsidR="00FA7799" w:rsidTr="00DF3435">
        <w:trPr>
          <w:trHeight w:val="1023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Pełna nazwa wykonawcy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235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768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adres siedziby wykonawcy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6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NIP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REGON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nr telefonu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6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nr faxu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e-mail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BD11E4" w:rsidRPr="00FA75C0" w:rsidRDefault="001B2112" w:rsidP="00BD11E4">
      <w:pPr>
        <w:spacing w:after="36" w:line="259" w:lineRule="auto"/>
        <w:ind w:left="0" w:firstLine="0"/>
        <w:jc w:val="left"/>
        <w:rPr>
          <w:szCs w:val="24"/>
        </w:rPr>
      </w:pPr>
      <w:r>
        <w:rPr>
          <w:sz w:val="18"/>
        </w:rPr>
        <w:t xml:space="preserve"> </w:t>
      </w:r>
      <w:r>
        <w:t xml:space="preserve">w odpowiedzi na </w:t>
      </w:r>
      <w:r w:rsidR="00BD11E4">
        <w:t>rozeznanie rynku</w:t>
      </w:r>
      <w:r>
        <w:t xml:space="preserve"> </w:t>
      </w:r>
      <w:r w:rsidR="005C64D2">
        <w:t>na:</w:t>
      </w:r>
      <w:r w:rsidR="005C64D2" w:rsidRPr="005C64D2">
        <w:rPr>
          <w:rFonts w:eastAsia="Arial Unicode MS"/>
          <w:b/>
          <w:kern w:val="1"/>
          <w:szCs w:val="24"/>
        </w:rPr>
        <w:t xml:space="preserve"> </w:t>
      </w:r>
      <w:r w:rsidR="00272F22">
        <w:rPr>
          <w:rStyle w:val="Pogrubienie"/>
        </w:rPr>
        <w:t>Zakupu testów, podręczników oraz szkoleń do przeprowadzenia testów dla PCPR w Łęcznej</w:t>
      </w:r>
      <w:r w:rsidR="00272F22" w:rsidRPr="00FA75C0">
        <w:rPr>
          <w:rFonts w:eastAsia="Arial Unicode MS"/>
          <w:kern w:val="1"/>
          <w:szCs w:val="24"/>
        </w:rPr>
        <w:t xml:space="preserve"> </w:t>
      </w:r>
      <w:r w:rsidR="00BD11E4" w:rsidRPr="00FA75C0">
        <w:rPr>
          <w:rFonts w:eastAsia="Arial Unicode MS"/>
          <w:kern w:val="1"/>
          <w:szCs w:val="24"/>
        </w:rPr>
        <w:t xml:space="preserve">w ramach projektu pn.: </w:t>
      </w:r>
      <w:r w:rsidR="00BD11E4" w:rsidRPr="00FA75C0">
        <w:rPr>
          <w:szCs w:val="24"/>
        </w:rPr>
        <w:t>„Ośrodek wsparcia Rodzin w Powiecie Łęczyńskim”, nr projektu RPLU.11.02.00-06-0062/17, realizowanego przez Powiat Łęczyński, współfinansowanego ze środków Regionalnego Programu Operacyjnego Województwa Lubelskiego</w:t>
      </w:r>
      <w:r w:rsidR="00BD11E4">
        <w:t xml:space="preserve"> na lata </w:t>
      </w:r>
      <w:r w:rsidR="00BD11E4">
        <w:br/>
        <w:t>2014-2020</w:t>
      </w:r>
      <w:r w:rsidR="00BD11E4" w:rsidRPr="00FA75C0">
        <w:rPr>
          <w:szCs w:val="24"/>
        </w:rPr>
        <w:t xml:space="preserve"> Oś priorytetowa XI „Włączenie społeczne” Działanie 11.2 „Usługi społeczne</w:t>
      </w:r>
      <w:r w:rsidR="00BD11E4">
        <w:br/>
      </w:r>
      <w:r w:rsidR="00BD11E4" w:rsidRPr="00FA75C0">
        <w:rPr>
          <w:szCs w:val="24"/>
        </w:rPr>
        <w:t xml:space="preserve"> i zdrowotne”. </w:t>
      </w:r>
    </w:p>
    <w:p w:rsidR="00E16829" w:rsidRPr="00E82A7E" w:rsidRDefault="00E16829" w:rsidP="00EC1B09">
      <w:pPr>
        <w:spacing w:after="4" w:line="271" w:lineRule="auto"/>
        <w:ind w:left="-5" w:right="140" w:hanging="10"/>
        <w:rPr>
          <w:u w:val="single"/>
        </w:rPr>
      </w:pP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2"/>
        <w:gridCol w:w="2410"/>
        <w:gridCol w:w="1275"/>
        <w:gridCol w:w="7655"/>
        <w:gridCol w:w="142"/>
        <w:gridCol w:w="992"/>
        <w:gridCol w:w="850"/>
        <w:gridCol w:w="1135"/>
      </w:tblGrid>
      <w:tr w:rsidR="00E82A7E" w:rsidRPr="00E82A7E" w:rsidTr="00272F22">
        <w:tc>
          <w:tcPr>
            <w:tcW w:w="959" w:type="dxa"/>
            <w:gridSpan w:val="2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E82A7E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lastRenderedPageBreak/>
              <w:t>L.P.</w:t>
            </w:r>
          </w:p>
        </w:tc>
        <w:tc>
          <w:tcPr>
            <w:tcW w:w="241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E82A7E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OPIS PRODUKTU</w:t>
            </w:r>
          </w:p>
        </w:tc>
        <w:tc>
          <w:tcPr>
            <w:tcW w:w="8930" w:type="dxa"/>
            <w:gridSpan w:val="2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E82A7E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SPECYFIKACJA</w:t>
            </w:r>
          </w:p>
        </w:tc>
        <w:tc>
          <w:tcPr>
            <w:tcW w:w="1134" w:type="dxa"/>
            <w:gridSpan w:val="2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E82A7E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CENA</w:t>
            </w:r>
          </w:p>
          <w:p w:rsidR="00E82A7E" w:rsidRPr="00E82A7E" w:rsidRDefault="00E82A7E" w:rsidP="00E82A7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E82A7E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netto</w:t>
            </w: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E82A7E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VAT</w:t>
            </w: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E82A7E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CENA brutto</w:t>
            </w:r>
          </w:p>
        </w:tc>
      </w:tr>
      <w:tr w:rsidR="00E82A7E" w:rsidRPr="00E82A7E" w:rsidTr="00272F22">
        <w:trPr>
          <w:trHeight w:val="1541"/>
        </w:trPr>
        <w:tc>
          <w:tcPr>
            <w:tcW w:w="15418" w:type="dxa"/>
            <w:gridSpan w:val="9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E82A7E">
              <w:rPr>
                <w:rFonts w:eastAsia="Calibri"/>
                <w:b/>
                <w:color w:val="auto"/>
                <w:sz w:val="22"/>
                <w:lang w:eastAsia="en-US"/>
              </w:rPr>
              <w:t>TESTY/SZKOLENIA DO PRZEPROWADZENIA TESTÓW/ PODRĘCZNIKI</w:t>
            </w:r>
          </w:p>
          <w:p w:rsidR="00E82A7E" w:rsidRPr="00E82A7E" w:rsidRDefault="00E82A7E" w:rsidP="00E82A7E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>Poker osobowościowy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before="240" w:after="240" w:line="255" w:lineRule="atLeast"/>
              <w:ind w:left="0" w:firstLine="0"/>
              <w:rPr>
                <w:color w:val="131416"/>
                <w:sz w:val="22"/>
              </w:rPr>
            </w:pPr>
            <w:r w:rsidRPr="00E82A7E">
              <w:rPr>
                <w:color w:val="auto"/>
                <w:sz w:val="22"/>
                <w:shd w:val="clear" w:color="auto" w:fill="FFFFFF"/>
              </w:rPr>
              <w:t xml:space="preserve">1 </w:t>
            </w:r>
            <w:proofErr w:type="spellStart"/>
            <w:r w:rsidRPr="00E82A7E">
              <w:rPr>
                <w:color w:val="auto"/>
                <w:sz w:val="22"/>
                <w:shd w:val="clear" w:color="auto" w:fill="FFFFFF"/>
              </w:rPr>
              <w:t>kompl</w:t>
            </w:r>
            <w:proofErr w:type="spellEnd"/>
            <w:r w:rsidRPr="00E82A7E">
              <w:rPr>
                <w:color w:val="auto"/>
                <w:sz w:val="22"/>
                <w:shd w:val="clear" w:color="auto" w:fill="FFFFFF"/>
              </w:rPr>
              <w:t xml:space="preserve">., </w:t>
            </w:r>
            <w:r w:rsidRPr="00E82A7E">
              <w:rPr>
                <w:color w:val="131416"/>
                <w:sz w:val="22"/>
              </w:rPr>
              <w:t xml:space="preserve">to narzędzie przeznaczone dla menedżerów, trenerów, </w:t>
            </w:r>
            <w:proofErr w:type="spellStart"/>
            <w:r w:rsidRPr="00E82A7E">
              <w:rPr>
                <w:color w:val="131416"/>
                <w:sz w:val="22"/>
              </w:rPr>
              <w:t>coachów</w:t>
            </w:r>
            <w:proofErr w:type="spellEnd"/>
            <w:r w:rsidRPr="00E82A7E">
              <w:rPr>
                <w:color w:val="131416"/>
                <w:sz w:val="22"/>
              </w:rPr>
              <w:t>; </w:t>
            </w:r>
            <w:r w:rsidRPr="00E82A7E">
              <w:rPr>
                <w:bCs/>
                <w:color w:val="auto"/>
                <w:sz w:val="22"/>
              </w:rPr>
              <w:t xml:space="preserve"> autorzy: </w:t>
            </w:r>
            <w:proofErr w:type="spellStart"/>
            <w:r w:rsidRPr="00E82A7E">
              <w:rPr>
                <w:color w:val="auto"/>
                <w:sz w:val="22"/>
              </w:rPr>
              <w:t>Sabine</w:t>
            </w:r>
            <w:proofErr w:type="spellEnd"/>
            <w:r w:rsidRPr="00E82A7E">
              <w:rPr>
                <w:color w:val="auto"/>
                <w:sz w:val="22"/>
              </w:rPr>
              <w:t xml:space="preserve"> </w:t>
            </w:r>
            <w:proofErr w:type="spellStart"/>
            <w:r w:rsidRPr="00E82A7E">
              <w:rPr>
                <w:color w:val="auto"/>
                <w:sz w:val="22"/>
              </w:rPr>
              <w:t>Hugentobler</w:t>
            </w:r>
            <w:proofErr w:type="spellEnd"/>
            <w:r w:rsidRPr="00E82A7E">
              <w:rPr>
                <w:color w:val="auto"/>
                <w:sz w:val="22"/>
              </w:rPr>
              <w:t xml:space="preserve">, Bernhard </w:t>
            </w:r>
            <w:proofErr w:type="spellStart"/>
            <w:r w:rsidRPr="00E82A7E">
              <w:rPr>
                <w:color w:val="auto"/>
                <w:sz w:val="22"/>
              </w:rPr>
              <w:t>Oettli</w:t>
            </w:r>
            <w:proofErr w:type="spellEnd"/>
            <w:r w:rsidRPr="00E82A7E">
              <w:rPr>
                <w:color w:val="auto"/>
                <w:sz w:val="22"/>
              </w:rPr>
              <w:t xml:space="preserve">, Doris </w:t>
            </w:r>
            <w:proofErr w:type="spellStart"/>
            <w:r w:rsidRPr="00E82A7E">
              <w:rPr>
                <w:color w:val="auto"/>
                <w:sz w:val="22"/>
              </w:rPr>
              <w:t>Ruckstuhl</w:t>
            </w:r>
            <w:proofErr w:type="spellEnd"/>
            <w:r w:rsidRPr="00E82A7E">
              <w:rPr>
                <w:color w:val="auto"/>
                <w:sz w:val="22"/>
              </w:rPr>
              <w:t xml:space="preserve">, </w:t>
            </w:r>
            <w:r w:rsidRPr="00E82A7E">
              <w:rPr>
                <w:bCs/>
                <w:color w:val="auto"/>
                <w:sz w:val="22"/>
              </w:rPr>
              <w:t>tłumaczenie:</w:t>
            </w:r>
            <w:r w:rsidRPr="00E82A7E">
              <w:rPr>
                <w:color w:val="auto"/>
                <w:sz w:val="22"/>
              </w:rPr>
              <w:t xml:space="preserve"> Aleksandra Jaworowska, </w:t>
            </w:r>
            <w:r w:rsidRPr="00E82A7E">
              <w:rPr>
                <w:bCs/>
                <w:color w:val="auto"/>
                <w:sz w:val="22"/>
              </w:rPr>
              <w:t xml:space="preserve">red.: </w:t>
            </w:r>
            <w:r w:rsidRPr="00E82A7E">
              <w:rPr>
                <w:color w:val="auto"/>
                <w:sz w:val="22"/>
              </w:rPr>
              <w:t xml:space="preserve">Anna Matczak. Gra </w:t>
            </w:r>
            <w:r w:rsidRPr="00E82A7E">
              <w:rPr>
                <w:color w:val="131416"/>
                <w:sz w:val="22"/>
              </w:rPr>
              <w:t>w karty</w:t>
            </w:r>
            <w:r w:rsidRPr="00E82A7E">
              <w:rPr>
                <w:color w:val="auto"/>
                <w:sz w:val="22"/>
              </w:rPr>
              <w:t xml:space="preserve"> </w:t>
            </w:r>
            <w:r w:rsidRPr="00E82A7E">
              <w:rPr>
                <w:color w:val="131416"/>
                <w:sz w:val="22"/>
              </w:rPr>
              <w:t xml:space="preserve">do stosowania w pracy z zespołami i grupami. Komplet  z </w:t>
            </w:r>
            <w:r w:rsidRPr="00E82A7E">
              <w:rPr>
                <w:bCs/>
                <w:color w:val="131416"/>
                <w:sz w:val="22"/>
              </w:rPr>
              <w:t>materiałami:</w:t>
            </w:r>
            <w:r w:rsidRPr="00E82A7E">
              <w:rPr>
                <w:color w:val="131416"/>
                <w:sz w:val="22"/>
              </w:rPr>
              <w:t xml:space="preserve"> Karty do gry, Podręcznik, Arkusze – bloczek 100szt. </w:t>
            </w: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keepNext/>
              <w:spacing w:before="240" w:after="60" w:line="240" w:lineRule="atLeast"/>
              <w:ind w:left="0" w:firstLine="0"/>
              <w:jc w:val="left"/>
              <w:outlineLvl w:val="0"/>
              <w:rPr>
                <w:b/>
                <w:bCs/>
                <w:color w:val="auto"/>
                <w:kern w:val="32"/>
                <w:sz w:val="32"/>
                <w:szCs w:val="32"/>
                <w:shd w:val="clear" w:color="auto" w:fill="FFFFFF"/>
                <w:lang w:eastAsia="en-US"/>
              </w:rPr>
            </w:pPr>
            <w:r w:rsidRPr="00E82A7E">
              <w:rPr>
                <w:bCs/>
                <w:color w:val="auto"/>
                <w:kern w:val="32"/>
                <w:sz w:val="22"/>
                <w:szCs w:val="32"/>
                <w:shd w:val="clear" w:color="auto" w:fill="FFFFFF"/>
                <w:lang w:eastAsia="en-US"/>
              </w:rPr>
              <w:t xml:space="preserve">CUIDA 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before="240" w:after="240" w:line="255" w:lineRule="atLeast"/>
              <w:ind w:left="0" w:firstLine="0"/>
              <w:rPr>
                <w:color w:val="131416"/>
                <w:sz w:val="22"/>
              </w:rPr>
            </w:pPr>
            <w:r w:rsidRPr="00E82A7E">
              <w:rPr>
                <w:color w:val="auto"/>
                <w:sz w:val="22"/>
                <w:shd w:val="clear" w:color="auto" w:fill="FFFFFF"/>
              </w:rPr>
              <w:t xml:space="preserve">1 </w:t>
            </w:r>
            <w:proofErr w:type="spellStart"/>
            <w:r w:rsidRPr="00E82A7E">
              <w:rPr>
                <w:color w:val="auto"/>
                <w:sz w:val="22"/>
                <w:shd w:val="clear" w:color="auto" w:fill="FFFFFF"/>
              </w:rPr>
              <w:t>kompl</w:t>
            </w:r>
            <w:proofErr w:type="spellEnd"/>
            <w:r w:rsidRPr="00E82A7E">
              <w:rPr>
                <w:color w:val="auto"/>
                <w:sz w:val="22"/>
                <w:shd w:val="clear" w:color="auto" w:fill="FFFFFF"/>
              </w:rPr>
              <w:t xml:space="preserve">., </w:t>
            </w:r>
            <w:r w:rsidRPr="00E82A7E">
              <w:rPr>
                <w:color w:val="131416"/>
                <w:sz w:val="22"/>
              </w:rPr>
              <w:t xml:space="preserve">przeznaczony jest do diagnozowania kandydatów na rodziców adopcyjnych, opiekunów,  opiekunów prawnych i mediatorów; </w:t>
            </w:r>
            <w:proofErr w:type="spellStart"/>
            <w:r w:rsidRPr="00E82A7E">
              <w:rPr>
                <w:bCs/>
                <w:color w:val="auto"/>
                <w:szCs w:val="24"/>
              </w:rPr>
              <w:t>a</w:t>
            </w:r>
            <w:r w:rsidRPr="00E82A7E">
              <w:rPr>
                <w:bCs/>
                <w:color w:val="auto"/>
                <w:sz w:val="22"/>
              </w:rPr>
              <w:t>utorzy:</w:t>
            </w:r>
            <w:r w:rsidRPr="00E82A7E">
              <w:rPr>
                <w:color w:val="131416"/>
                <w:sz w:val="22"/>
              </w:rPr>
              <w:t>F.A</w:t>
            </w:r>
            <w:proofErr w:type="spellEnd"/>
            <w:r w:rsidRPr="00E82A7E">
              <w:rPr>
                <w:color w:val="131416"/>
                <w:sz w:val="22"/>
              </w:rPr>
              <w:t xml:space="preserve">. </w:t>
            </w:r>
            <w:proofErr w:type="spellStart"/>
            <w:r w:rsidRPr="00E82A7E">
              <w:rPr>
                <w:color w:val="131416"/>
                <w:sz w:val="22"/>
              </w:rPr>
              <w:t>Bermejo</w:t>
            </w:r>
            <w:proofErr w:type="spellEnd"/>
            <w:r w:rsidRPr="00E82A7E">
              <w:rPr>
                <w:color w:val="131416"/>
                <w:sz w:val="22"/>
              </w:rPr>
              <w:t xml:space="preserve">, I. </w:t>
            </w:r>
            <w:proofErr w:type="spellStart"/>
            <w:r w:rsidRPr="00E82A7E">
              <w:rPr>
                <w:color w:val="131416"/>
                <w:sz w:val="22"/>
              </w:rPr>
              <w:t>Estevez</w:t>
            </w:r>
            <w:proofErr w:type="spellEnd"/>
            <w:r w:rsidRPr="00E82A7E">
              <w:rPr>
                <w:color w:val="131416"/>
                <w:sz w:val="22"/>
              </w:rPr>
              <w:t>, M. I. Garcia, E. Garcia-</w:t>
            </w:r>
            <w:proofErr w:type="spellStart"/>
            <w:r w:rsidRPr="00E82A7E">
              <w:rPr>
                <w:color w:val="131416"/>
                <w:sz w:val="22"/>
              </w:rPr>
              <w:t>Rubio</w:t>
            </w:r>
            <w:proofErr w:type="spellEnd"/>
            <w:r w:rsidRPr="00E82A7E">
              <w:rPr>
                <w:color w:val="131416"/>
                <w:sz w:val="22"/>
              </w:rPr>
              <w:t xml:space="preserve">, L. </w:t>
            </w:r>
            <w:proofErr w:type="spellStart"/>
            <w:r w:rsidRPr="00E82A7E">
              <w:rPr>
                <w:color w:val="131416"/>
                <w:sz w:val="22"/>
              </w:rPr>
              <w:t>Lapastora</w:t>
            </w:r>
            <w:proofErr w:type="spellEnd"/>
            <w:r w:rsidRPr="00E82A7E">
              <w:rPr>
                <w:color w:val="131416"/>
                <w:sz w:val="22"/>
              </w:rPr>
              <w:t xml:space="preserve">, P. </w:t>
            </w:r>
            <w:proofErr w:type="spellStart"/>
            <w:r w:rsidRPr="00E82A7E">
              <w:rPr>
                <w:color w:val="131416"/>
                <w:sz w:val="22"/>
              </w:rPr>
              <w:t>Letamendia</w:t>
            </w:r>
            <w:proofErr w:type="spellEnd"/>
            <w:r w:rsidRPr="00E82A7E">
              <w:rPr>
                <w:color w:val="131416"/>
                <w:sz w:val="22"/>
              </w:rPr>
              <w:t xml:space="preserve">, J. C. </w:t>
            </w:r>
            <w:proofErr w:type="spellStart"/>
            <w:r w:rsidRPr="00E82A7E">
              <w:rPr>
                <w:color w:val="131416"/>
                <w:sz w:val="22"/>
              </w:rPr>
              <w:t>Parra</w:t>
            </w:r>
            <w:proofErr w:type="spellEnd"/>
            <w:r w:rsidRPr="00E82A7E">
              <w:rPr>
                <w:color w:val="131416"/>
                <w:sz w:val="22"/>
              </w:rPr>
              <w:t xml:space="preserve">, A. Polo, M. J. </w:t>
            </w:r>
            <w:proofErr w:type="spellStart"/>
            <w:r w:rsidRPr="00E82A7E">
              <w:rPr>
                <w:color w:val="131416"/>
                <w:sz w:val="22"/>
              </w:rPr>
              <w:t>Sueiro</w:t>
            </w:r>
            <w:proofErr w:type="spellEnd"/>
            <w:r w:rsidRPr="00E82A7E">
              <w:rPr>
                <w:color w:val="131416"/>
                <w:sz w:val="22"/>
              </w:rPr>
              <w:t xml:space="preserve">, F. </w:t>
            </w:r>
            <w:proofErr w:type="spellStart"/>
            <w:r w:rsidRPr="00E82A7E">
              <w:rPr>
                <w:color w:val="131416"/>
                <w:sz w:val="22"/>
              </w:rPr>
              <w:t>Velazquez</w:t>
            </w:r>
            <w:proofErr w:type="spellEnd"/>
            <w:r w:rsidRPr="00E82A7E">
              <w:rPr>
                <w:color w:val="131416"/>
                <w:sz w:val="22"/>
              </w:rPr>
              <w:t xml:space="preserve"> de Castro</w:t>
            </w:r>
            <w:r w:rsidRPr="00E82A7E">
              <w:rPr>
                <w:color w:val="131416"/>
                <w:szCs w:val="24"/>
              </w:rPr>
              <w:t xml:space="preserve">; </w:t>
            </w:r>
            <w:r w:rsidRPr="00E82A7E">
              <w:rPr>
                <w:bCs/>
                <w:color w:val="auto"/>
                <w:szCs w:val="17"/>
              </w:rPr>
              <w:t>p</w:t>
            </w:r>
            <w:r w:rsidRPr="00E82A7E">
              <w:rPr>
                <w:bCs/>
                <w:color w:val="auto"/>
                <w:sz w:val="22"/>
                <w:szCs w:val="17"/>
              </w:rPr>
              <w:t>olska normalizacja i podręcznik:</w:t>
            </w:r>
            <w:r w:rsidRPr="00E82A7E">
              <w:rPr>
                <w:bCs/>
                <w:color w:val="auto"/>
                <w:szCs w:val="17"/>
              </w:rPr>
              <w:t xml:space="preserve"> </w:t>
            </w:r>
            <w:r w:rsidRPr="00E82A7E">
              <w:rPr>
                <w:color w:val="auto"/>
                <w:sz w:val="22"/>
                <w:szCs w:val="17"/>
              </w:rPr>
              <w:t>Aleksandra Jaworowsk</w:t>
            </w:r>
            <w:r w:rsidRPr="00E82A7E">
              <w:rPr>
                <w:color w:val="auto"/>
                <w:szCs w:val="17"/>
              </w:rPr>
              <w:t xml:space="preserve">a. </w:t>
            </w:r>
            <w:r w:rsidRPr="00E82A7E">
              <w:rPr>
                <w:color w:val="131416"/>
                <w:sz w:val="22"/>
              </w:rPr>
              <w:t>CUIDA składa się ze 175 pozycji, na które udziela się odpowiedzi na 4-stopniowej skali.</w:t>
            </w:r>
            <w:r w:rsidRPr="00E82A7E">
              <w:rPr>
                <w:b/>
                <w:bCs/>
                <w:color w:val="131416"/>
                <w:sz w:val="22"/>
              </w:rPr>
              <w:t xml:space="preserve"> </w:t>
            </w:r>
            <w:r w:rsidRPr="00E82A7E">
              <w:rPr>
                <w:bCs/>
                <w:color w:val="131416"/>
                <w:sz w:val="22"/>
              </w:rPr>
              <w:t xml:space="preserve">Materiały: </w:t>
            </w:r>
            <w:r w:rsidRPr="00E82A7E">
              <w:rPr>
                <w:color w:val="131416"/>
                <w:sz w:val="22"/>
              </w:rPr>
              <w:t xml:space="preserve">komplet (podręcznik, arkusze z instrukcją (25 </w:t>
            </w:r>
            <w:proofErr w:type="spellStart"/>
            <w:r w:rsidRPr="00E82A7E">
              <w:rPr>
                <w:color w:val="131416"/>
                <w:sz w:val="22"/>
              </w:rPr>
              <w:t>egz</w:t>
            </w:r>
            <w:proofErr w:type="spellEnd"/>
            <w:r w:rsidRPr="00E82A7E">
              <w:rPr>
                <w:color w:val="131416"/>
                <w:sz w:val="22"/>
              </w:rPr>
              <w:t>), arkusze odpowiedzi (25 egz.), arkusze wyników (25 egz.), komplet kluczy (17 egz.), podręcznik, arkusze z instrukcją (25 egz.), arkusze odpowiedzi (25 egz.), arkusze wyników (25 egz.), komplet kluczy.</w:t>
            </w: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>DSR – Dziecięca Skala Rozwojowa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after="200" w:line="330" w:lineRule="atLeast"/>
              <w:ind w:left="0" w:firstLine="0"/>
              <w:rPr>
                <w:b/>
                <w:bCs/>
                <w:color w:val="999999"/>
                <w:sz w:val="22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 xml:space="preserve">1 </w:t>
            </w:r>
            <w:proofErr w:type="spellStart"/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>kompl</w:t>
            </w:r>
            <w:proofErr w:type="spellEnd"/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 xml:space="preserve">., </w:t>
            </w:r>
            <w:r w:rsidRPr="00E82A7E">
              <w:rPr>
                <w:rFonts w:eastAsia="Calibri"/>
                <w:color w:val="131416"/>
                <w:sz w:val="22"/>
                <w:lang w:eastAsia="en-US"/>
              </w:rPr>
              <w:t xml:space="preserve">służy do diagnozowania aktualnego poziomu rozwoju dziecka; </w:t>
            </w:r>
            <w:r w:rsidRPr="00E82A7E">
              <w:rPr>
                <w:bCs/>
                <w:color w:val="auto"/>
                <w:sz w:val="22"/>
              </w:rPr>
              <w:t>autorzy:</w:t>
            </w:r>
            <w:r w:rsidRPr="00E82A7E">
              <w:rPr>
                <w:b/>
                <w:bCs/>
                <w:color w:val="999999"/>
                <w:sz w:val="22"/>
              </w:rPr>
              <w:t xml:space="preserve"> </w:t>
            </w:r>
            <w:r w:rsidRPr="00E82A7E">
              <w:rPr>
                <w:color w:val="131416"/>
                <w:sz w:val="22"/>
              </w:rPr>
              <w:t xml:space="preserve">Anna Matczak, Aleksandra Jaworowska, Anna Ciechanowicz, Diana </w:t>
            </w:r>
            <w:proofErr w:type="spellStart"/>
            <w:r w:rsidRPr="00E82A7E">
              <w:rPr>
                <w:color w:val="131416"/>
                <w:sz w:val="22"/>
              </w:rPr>
              <w:t>Fecenec</w:t>
            </w:r>
            <w:proofErr w:type="spellEnd"/>
            <w:r w:rsidRPr="00E82A7E">
              <w:rPr>
                <w:color w:val="131416"/>
                <w:sz w:val="22"/>
              </w:rPr>
              <w:t xml:space="preserve">, Joanna Stańczak, Ewa Zalewska (2007); </w:t>
            </w:r>
            <w:r w:rsidRPr="00E82A7E">
              <w:rPr>
                <w:bCs/>
                <w:color w:val="131416"/>
                <w:sz w:val="22"/>
                <w:szCs w:val="17"/>
              </w:rPr>
              <w:t xml:space="preserve">DSR Komplet (podręcznik, instrukcja, pomoce w torbie, film instruktażowy, 25 arkuszy Skali </w:t>
            </w:r>
            <w:proofErr w:type="spellStart"/>
            <w:r w:rsidRPr="00E82A7E">
              <w:rPr>
                <w:bCs/>
                <w:color w:val="131416"/>
                <w:sz w:val="22"/>
                <w:szCs w:val="17"/>
              </w:rPr>
              <w:t>Wykonaniowej</w:t>
            </w:r>
            <w:proofErr w:type="spellEnd"/>
            <w:r w:rsidRPr="00E82A7E">
              <w:rPr>
                <w:bCs/>
                <w:color w:val="131416"/>
                <w:sz w:val="22"/>
                <w:szCs w:val="17"/>
              </w:rPr>
              <w:t xml:space="preserve">, 25 arkuszy Skali </w:t>
            </w:r>
            <w:proofErr w:type="spellStart"/>
            <w:r w:rsidRPr="00E82A7E">
              <w:rPr>
                <w:bCs/>
                <w:color w:val="131416"/>
                <w:sz w:val="22"/>
                <w:szCs w:val="17"/>
              </w:rPr>
              <w:t>Obserwacyj</w:t>
            </w:r>
            <w:proofErr w:type="spellEnd"/>
            <w:r w:rsidRPr="00E82A7E">
              <w:rPr>
                <w:bCs/>
                <w:color w:val="131416"/>
                <w:sz w:val="22"/>
                <w:szCs w:val="17"/>
              </w:rPr>
              <w:t>, Aneks).</w:t>
            </w:r>
          </w:p>
          <w:tbl>
            <w:tblPr>
              <w:tblW w:w="1362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810"/>
              <w:gridCol w:w="6810"/>
            </w:tblGrid>
            <w:tr w:rsidR="00E82A7E" w:rsidRPr="00E82A7E" w:rsidTr="00E74077">
              <w:tc>
                <w:tcPr>
                  <w:tcW w:w="6810" w:type="dxa"/>
                  <w:shd w:val="clear" w:color="auto" w:fill="FFFFFF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E82A7E" w:rsidRPr="00E82A7E" w:rsidRDefault="00E82A7E" w:rsidP="00E82A7E">
                  <w:pPr>
                    <w:spacing w:before="240" w:after="240" w:line="219" w:lineRule="atLeast"/>
                    <w:ind w:left="0" w:firstLine="0"/>
                    <w:jc w:val="left"/>
                    <w:rPr>
                      <w:bCs/>
                      <w:color w:val="131416"/>
                      <w:sz w:val="22"/>
                      <w:szCs w:val="17"/>
                    </w:rPr>
                  </w:pPr>
                </w:p>
              </w:tc>
              <w:tc>
                <w:tcPr>
                  <w:tcW w:w="6810" w:type="dxa"/>
                  <w:shd w:val="clear" w:color="auto" w:fill="FFFFFF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E82A7E" w:rsidRPr="00E82A7E" w:rsidRDefault="00E82A7E" w:rsidP="00E82A7E">
                  <w:pPr>
                    <w:spacing w:before="240" w:after="240" w:line="219" w:lineRule="atLeast"/>
                    <w:ind w:left="0" w:firstLine="0"/>
                    <w:jc w:val="right"/>
                    <w:rPr>
                      <w:color w:val="131416"/>
                      <w:sz w:val="22"/>
                      <w:szCs w:val="17"/>
                    </w:rPr>
                  </w:pPr>
                </w:p>
              </w:tc>
            </w:tr>
          </w:tbl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 xml:space="preserve">IDS – P Skale Inteligencji i Rozwoju dla Dzieci </w:t>
            </w: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br/>
              <w:t>w Wieku Przedszkolnym wraz z instruktażem stosowania i interpretacji dla dwóch osób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textAlignment w:val="baseline"/>
              <w:rPr>
                <w:color w:val="131416"/>
                <w:sz w:val="20"/>
                <w:szCs w:val="24"/>
              </w:rPr>
            </w:pPr>
            <w:r w:rsidRPr="00E82A7E">
              <w:rPr>
                <w:color w:val="auto"/>
                <w:sz w:val="22"/>
                <w:szCs w:val="20"/>
                <w:shd w:val="clear" w:color="auto" w:fill="FFFFFF"/>
              </w:rPr>
              <w:t xml:space="preserve">1 </w:t>
            </w:r>
            <w:proofErr w:type="spellStart"/>
            <w:r w:rsidRPr="00E82A7E">
              <w:rPr>
                <w:color w:val="auto"/>
                <w:sz w:val="22"/>
                <w:szCs w:val="20"/>
                <w:shd w:val="clear" w:color="auto" w:fill="FFFFFF"/>
              </w:rPr>
              <w:t>kompl</w:t>
            </w:r>
            <w:proofErr w:type="spellEnd"/>
            <w:r w:rsidRPr="00E82A7E">
              <w:rPr>
                <w:color w:val="auto"/>
                <w:sz w:val="22"/>
                <w:szCs w:val="20"/>
                <w:shd w:val="clear" w:color="auto" w:fill="FFFFFF"/>
              </w:rPr>
              <w:t xml:space="preserve">., </w:t>
            </w:r>
            <w:r w:rsidRPr="00E82A7E">
              <w:rPr>
                <w:color w:val="131416"/>
                <w:sz w:val="22"/>
                <w:szCs w:val="24"/>
              </w:rPr>
              <w:t xml:space="preserve">narzędzie </w:t>
            </w:r>
            <w:proofErr w:type="spellStart"/>
            <w:r w:rsidRPr="00E82A7E">
              <w:rPr>
                <w:color w:val="131416"/>
                <w:sz w:val="22"/>
                <w:szCs w:val="24"/>
              </w:rPr>
              <w:t>pozwalaja</w:t>
            </w:r>
            <w:proofErr w:type="spellEnd"/>
            <w:r w:rsidRPr="00E82A7E">
              <w:rPr>
                <w:color w:val="131416"/>
                <w:sz w:val="22"/>
                <w:szCs w:val="24"/>
              </w:rPr>
              <w:t xml:space="preserve"> na wielowymiarową ocenę funkcjonowania dzieci w wieku 3-5 lat. Test składa się z 18 testów badających sześć różnych sfer rozwoju dziecka: Zdolności poznawcze (testy: Percepcja wzrokowa, Uwaga selektywna, Pamięć fonologiczna, Pamięć wzrokowo-przestrzenna, Rozumowanie przestrzenne, Rozumowanie pojęciowe, Pamięć słuchowa);  Umiejętności psychomotoryczne (testy: Motoryka, Manipulacja, Koordynacja wzrokowo-ruchowa), Kompetencje społeczno-emocjonalne (test Kompetencje społeczno-emocjonalne); Matematyka (test Rozumowanie logiczno-matematyczne), Język (testy: Mowa czynna, Słownik, Mowa bierna). Motywacja (test Odraczanie nagrody, skale: Wytrwałość, Satysfakcja z osiągnięć); </w:t>
            </w:r>
            <w:r w:rsidRPr="00E82A7E">
              <w:rPr>
                <w:bCs/>
                <w:color w:val="auto"/>
                <w:szCs w:val="17"/>
              </w:rPr>
              <w:t>a</w:t>
            </w:r>
            <w:r w:rsidRPr="00E82A7E">
              <w:rPr>
                <w:bCs/>
                <w:color w:val="auto"/>
                <w:sz w:val="22"/>
                <w:szCs w:val="17"/>
              </w:rPr>
              <w:t xml:space="preserve">utorzy: </w:t>
            </w:r>
            <w:r w:rsidRPr="00E82A7E">
              <w:rPr>
                <w:color w:val="auto"/>
                <w:sz w:val="22"/>
                <w:szCs w:val="17"/>
              </w:rPr>
              <w:t xml:space="preserve">Alexander </w:t>
            </w:r>
            <w:proofErr w:type="spellStart"/>
            <w:r w:rsidRPr="00E82A7E">
              <w:rPr>
                <w:color w:val="auto"/>
                <w:sz w:val="22"/>
                <w:szCs w:val="17"/>
              </w:rPr>
              <w:t>Grob</w:t>
            </w:r>
            <w:proofErr w:type="spellEnd"/>
            <w:r w:rsidRPr="00E82A7E">
              <w:rPr>
                <w:color w:val="auto"/>
                <w:sz w:val="22"/>
                <w:szCs w:val="17"/>
              </w:rPr>
              <w:t xml:space="preserve">, </w:t>
            </w:r>
            <w:proofErr w:type="spellStart"/>
            <w:r w:rsidRPr="00E82A7E">
              <w:rPr>
                <w:color w:val="auto"/>
                <w:sz w:val="22"/>
                <w:szCs w:val="17"/>
              </w:rPr>
              <w:t>Giselle</w:t>
            </w:r>
            <w:proofErr w:type="spellEnd"/>
            <w:r w:rsidRPr="00E82A7E">
              <w:rPr>
                <w:color w:val="auto"/>
                <w:sz w:val="22"/>
                <w:szCs w:val="17"/>
              </w:rPr>
              <w:t xml:space="preserve"> Reimann, </w:t>
            </w:r>
            <w:proofErr w:type="spellStart"/>
            <w:r w:rsidRPr="00E82A7E">
              <w:rPr>
                <w:color w:val="auto"/>
                <w:sz w:val="22"/>
                <w:szCs w:val="17"/>
              </w:rPr>
              <w:t>Janine</w:t>
            </w:r>
            <w:proofErr w:type="spellEnd"/>
            <w:r w:rsidRPr="00E82A7E">
              <w:rPr>
                <w:color w:val="auto"/>
                <w:sz w:val="22"/>
                <w:szCs w:val="17"/>
              </w:rPr>
              <w:t xml:space="preserve"> Gut, Marie-</w:t>
            </w:r>
            <w:proofErr w:type="spellStart"/>
            <w:r w:rsidRPr="00E82A7E">
              <w:rPr>
                <w:color w:val="auto"/>
                <w:sz w:val="22"/>
                <w:szCs w:val="17"/>
              </w:rPr>
              <w:t>Claire</w:t>
            </w:r>
            <w:proofErr w:type="spellEnd"/>
            <w:r w:rsidRPr="00E82A7E">
              <w:rPr>
                <w:color w:val="auto"/>
                <w:sz w:val="22"/>
                <w:szCs w:val="17"/>
              </w:rPr>
              <w:t xml:space="preserve"> </w:t>
            </w:r>
            <w:proofErr w:type="spellStart"/>
            <w:r w:rsidRPr="00E82A7E">
              <w:rPr>
                <w:color w:val="auto"/>
                <w:sz w:val="22"/>
                <w:szCs w:val="17"/>
              </w:rPr>
              <w:t>Frichknecht</w:t>
            </w:r>
            <w:proofErr w:type="spellEnd"/>
            <w:r w:rsidRPr="00E82A7E">
              <w:rPr>
                <w:bCs/>
                <w:color w:val="auto"/>
                <w:szCs w:val="17"/>
              </w:rPr>
              <w:t>; p</w:t>
            </w:r>
            <w:r w:rsidRPr="00E82A7E">
              <w:rPr>
                <w:bCs/>
                <w:color w:val="auto"/>
                <w:sz w:val="22"/>
                <w:szCs w:val="17"/>
              </w:rPr>
              <w:t>olska adaptacja i podręcznik:</w:t>
            </w:r>
            <w:r w:rsidRPr="00E82A7E">
              <w:rPr>
                <w:bCs/>
                <w:color w:val="auto"/>
                <w:szCs w:val="17"/>
              </w:rPr>
              <w:t xml:space="preserve"> </w:t>
            </w:r>
            <w:r w:rsidRPr="00E82A7E">
              <w:rPr>
                <w:color w:val="auto"/>
                <w:sz w:val="22"/>
                <w:szCs w:val="17"/>
              </w:rPr>
              <w:t xml:space="preserve">Diana </w:t>
            </w:r>
            <w:proofErr w:type="spellStart"/>
            <w:r w:rsidRPr="00E82A7E">
              <w:rPr>
                <w:color w:val="auto"/>
                <w:sz w:val="22"/>
                <w:szCs w:val="17"/>
              </w:rPr>
              <w:t>Fecenec</w:t>
            </w:r>
            <w:proofErr w:type="spellEnd"/>
            <w:r w:rsidRPr="00E82A7E">
              <w:rPr>
                <w:color w:val="auto"/>
                <w:sz w:val="22"/>
                <w:szCs w:val="17"/>
              </w:rPr>
              <w:t xml:space="preserve">, Aleksandra Jaworowska, Anna Matczak; </w:t>
            </w:r>
            <w:r w:rsidRPr="00E82A7E">
              <w:rPr>
                <w:bCs/>
                <w:color w:val="131416"/>
                <w:sz w:val="22"/>
                <w:szCs w:val="24"/>
              </w:rPr>
              <w:t>materiały</w:t>
            </w:r>
            <w:r w:rsidRPr="00E82A7E">
              <w:rPr>
                <w:color w:val="131416"/>
                <w:sz w:val="22"/>
                <w:szCs w:val="24"/>
              </w:rPr>
              <w:t xml:space="preserve">: </w:t>
            </w:r>
            <w:r w:rsidRPr="00E82A7E">
              <w:rPr>
                <w:bCs/>
                <w:color w:val="131416"/>
                <w:sz w:val="22"/>
                <w:szCs w:val="24"/>
              </w:rPr>
              <w:t>komplet</w:t>
            </w:r>
            <w:r w:rsidRPr="00E82A7E">
              <w:rPr>
                <w:color w:val="131416"/>
                <w:sz w:val="22"/>
                <w:szCs w:val="24"/>
              </w:rPr>
              <w:t> (podręcznik, pomoce w torbie, 25 arkuszy zapisu), podręcznik, pomoce w torbie, arkusze zapisu.</w:t>
            </w:r>
          </w:p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>Instruktaż/szkolenie stosowania i interpretacji dla dwóch osób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  <w:r w:rsidRPr="00E82A7E">
              <w:rPr>
                <w:b/>
                <w:color w:val="auto"/>
                <w:szCs w:val="24"/>
              </w:rPr>
              <w:t>Szkolenie</w:t>
            </w:r>
            <w:r w:rsidRPr="00E82A7E">
              <w:rPr>
                <w:color w:val="auto"/>
                <w:szCs w:val="24"/>
              </w:rPr>
              <w:t xml:space="preserve"> „Stosowanie i interpretowanie </w:t>
            </w:r>
            <w:proofErr w:type="spellStart"/>
            <w:r w:rsidRPr="00E82A7E">
              <w:rPr>
                <w:color w:val="auto"/>
                <w:szCs w:val="24"/>
              </w:rPr>
              <w:t>Skal</w:t>
            </w:r>
            <w:proofErr w:type="spellEnd"/>
            <w:r w:rsidRPr="00E82A7E">
              <w:rPr>
                <w:color w:val="auto"/>
                <w:szCs w:val="24"/>
              </w:rPr>
              <w:t xml:space="preserve"> Inteligencji i Rozwoju dla Dzieci </w:t>
            </w:r>
            <w:r w:rsidRPr="00E82A7E">
              <w:rPr>
                <w:color w:val="auto"/>
                <w:szCs w:val="24"/>
              </w:rPr>
              <w:br/>
              <w:t xml:space="preserve">w Wieku Przedszkolnym IDS – P”, szkolenie trwające 16 godzin, dwudniowe, celem szkolenia jest nauka stosowania, obliczania i interpretowania wyników Skali Inteligencji i rozwoju </w:t>
            </w:r>
            <w:proofErr w:type="spellStart"/>
            <w:r w:rsidRPr="00E82A7E">
              <w:rPr>
                <w:color w:val="auto"/>
                <w:szCs w:val="24"/>
              </w:rPr>
              <w:t>dkla</w:t>
            </w:r>
            <w:proofErr w:type="spellEnd"/>
            <w:r w:rsidRPr="00E82A7E">
              <w:rPr>
                <w:color w:val="auto"/>
                <w:szCs w:val="24"/>
              </w:rPr>
              <w:t xml:space="preserve"> Dzieci w Wieku Przedszkolnym IDS – P, w zakres szkolenia </w:t>
            </w:r>
            <w:proofErr w:type="spellStart"/>
            <w:r w:rsidRPr="00E82A7E">
              <w:rPr>
                <w:color w:val="auto"/>
                <w:szCs w:val="24"/>
              </w:rPr>
              <w:t>wchdoza</w:t>
            </w:r>
            <w:proofErr w:type="spellEnd"/>
            <w:r w:rsidRPr="00E82A7E">
              <w:rPr>
                <w:color w:val="auto"/>
                <w:szCs w:val="24"/>
              </w:rPr>
              <w:t xml:space="preserve"> wykłady i ćwiczenia praktyczne, szkolenie dla dwóch osób</w:t>
            </w: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</w:pPr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>IDS Skale Inteligencji i Rozwoju dla dzieci w wieku 5-10 lat</w:t>
            </w: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 xml:space="preserve"> wraz z instruktażem stosowania i interpretacji dla dwóch osób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textAlignment w:val="baseline"/>
              <w:rPr>
                <w:color w:val="131416"/>
                <w:sz w:val="22"/>
                <w:szCs w:val="24"/>
              </w:rPr>
            </w:pPr>
            <w:r w:rsidRPr="00E82A7E">
              <w:rPr>
                <w:color w:val="auto"/>
                <w:sz w:val="22"/>
                <w:szCs w:val="20"/>
                <w:shd w:val="clear" w:color="auto" w:fill="FFFFFF"/>
              </w:rPr>
              <w:t xml:space="preserve">1 </w:t>
            </w:r>
            <w:proofErr w:type="spellStart"/>
            <w:r w:rsidRPr="00E82A7E">
              <w:rPr>
                <w:color w:val="auto"/>
                <w:sz w:val="22"/>
                <w:szCs w:val="20"/>
                <w:shd w:val="clear" w:color="auto" w:fill="FFFFFF"/>
              </w:rPr>
              <w:t>kompl</w:t>
            </w:r>
            <w:proofErr w:type="spellEnd"/>
            <w:r w:rsidRPr="00E82A7E">
              <w:rPr>
                <w:color w:val="auto"/>
                <w:sz w:val="22"/>
                <w:szCs w:val="20"/>
                <w:shd w:val="clear" w:color="auto" w:fill="FFFFFF"/>
              </w:rPr>
              <w:t xml:space="preserve">., </w:t>
            </w:r>
            <w:r w:rsidRPr="00E82A7E">
              <w:rPr>
                <w:color w:val="131416"/>
                <w:sz w:val="22"/>
                <w:szCs w:val="24"/>
              </w:rPr>
              <w:t xml:space="preserve">narzędzie </w:t>
            </w:r>
            <w:proofErr w:type="spellStart"/>
            <w:r w:rsidRPr="00E82A7E">
              <w:rPr>
                <w:color w:val="131416"/>
                <w:sz w:val="22"/>
                <w:szCs w:val="24"/>
              </w:rPr>
              <w:t>pozwalaja</w:t>
            </w:r>
            <w:proofErr w:type="spellEnd"/>
            <w:r w:rsidRPr="00E82A7E">
              <w:rPr>
                <w:color w:val="131416"/>
                <w:sz w:val="22"/>
                <w:szCs w:val="24"/>
              </w:rPr>
              <w:t xml:space="preserve"> na  ocenę zdolności i kompetencji dzieci w wieku 5-10 lat. Test składa się z 19 testów badających sześć różnych obszarów funkcjonowania dziecka: zdolności poznawczych (percepcja wzrokowa, uwaga selektywna, pamięć fonologiczna, pamięć wzrokowo-przestrzenna, rozumowanie przestrzenne, rozumowanie pojęciowe, pamięć słuchowa), oraz pięć kompetencji (umiejętności psychomotoryczne, kompetencje społeczno-emocjonalne, matematyka, język, motywacja osiągnięć); </w:t>
            </w:r>
            <w:r w:rsidRPr="00E82A7E">
              <w:rPr>
                <w:bCs/>
                <w:color w:val="auto"/>
                <w:szCs w:val="17"/>
              </w:rPr>
              <w:t>a</w:t>
            </w:r>
            <w:r w:rsidRPr="00E82A7E">
              <w:rPr>
                <w:bCs/>
                <w:color w:val="auto"/>
                <w:sz w:val="22"/>
                <w:szCs w:val="17"/>
              </w:rPr>
              <w:t>utorzy:</w:t>
            </w:r>
            <w:r w:rsidRPr="00E82A7E">
              <w:rPr>
                <w:bCs/>
                <w:color w:val="auto"/>
                <w:sz w:val="17"/>
                <w:szCs w:val="17"/>
              </w:rPr>
              <w:t xml:space="preserve"> </w:t>
            </w:r>
            <w:r w:rsidRPr="00E82A7E">
              <w:rPr>
                <w:color w:val="131416"/>
                <w:sz w:val="22"/>
                <w:szCs w:val="17"/>
              </w:rPr>
              <w:t xml:space="preserve">Alexander </w:t>
            </w:r>
            <w:proofErr w:type="spellStart"/>
            <w:r w:rsidRPr="00E82A7E">
              <w:rPr>
                <w:color w:val="131416"/>
                <w:sz w:val="22"/>
                <w:szCs w:val="17"/>
              </w:rPr>
              <w:t>Grob</w:t>
            </w:r>
            <w:proofErr w:type="spellEnd"/>
            <w:r w:rsidRPr="00E82A7E">
              <w:rPr>
                <w:color w:val="131416"/>
                <w:sz w:val="22"/>
                <w:szCs w:val="17"/>
              </w:rPr>
              <w:t>, Christi</w:t>
            </w:r>
            <w:r w:rsidRPr="00E82A7E">
              <w:rPr>
                <w:color w:val="131416"/>
                <w:szCs w:val="17"/>
              </w:rPr>
              <w:t xml:space="preserve">ne S. Meyer, </w:t>
            </w:r>
            <w:proofErr w:type="spellStart"/>
            <w:r w:rsidRPr="00E82A7E">
              <w:rPr>
                <w:color w:val="131416"/>
                <w:szCs w:val="17"/>
              </w:rPr>
              <w:t>Priska</w:t>
            </w:r>
            <w:proofErr w:type="spellEnd"/>
            <w:r w:rsidRPr="00E82A7E">
              <w:rPr>
                <w:color w:val="131416"/>
                <w:szCs w:val="17"/>
              </w:rPr>
              <w:t xml:space="preserve"> </w:t>
            </w:r>
            <w:proofErr w:type="spellStart"/>
            <w:r w:rsidRPr="00E82A7E">
              <w:rPr>
                <w:color w:val="131416"/>
                <w:szCs w:val="17"/>
              </w:rPr>
              <w:t>Hagmann</w:t>
            </w:r>
            <w:proofErr w:type="spellEnd"/>
            <w:r w:rsidRPr="00E82A7E">
              <w:rPr>
                <w:color w:val="131416"/>
                <w:szCs w:val="17"/>
              </w:rPr>
              <w:t xml:space="preserve">-von </w:t>
            </w:r>
            <w:proofErr w:type="spellStart"/>
            <w:r w:rsidRPr="00E82A7E">
              <w:rPr>
                <w:color w:val="131416"/>
                <w:sz w:val="22"/>
                <w:szCs w:val="17"/>
              </w:rPr>
              <w:t>Arx</w:t>
            </w:r>
            <w:proofErr w:type="spellEnd"/>
            <w:r w:rsidRPr="00E82A7E">
              <w:rPr>
                <w:color w:val="131416"/>
                <w:szCs w:val="17"/>
              </w:rPr>
              <w:t xml:space="preserve">; </w:t>
            </w:r>
            <w:r w:rsidRPr="00E82A7E">
              <w:rPr>
                <w:bCs/>
                <w:color w:val="auto"/>
                <w:szCs w:val="17"/>
              </w:rPr>
              <w:t>p</w:t>
            </w:r>
            <w:r w:rsidRPr="00E82A7E">
              <w:rPr>
                <w:bCs/>
                <w:color w:val="auto"/>
                <w:sz w:val="22"/>
                <w:szCs w:val="17"/>
              </w:rPr>
              <w:t>olska adaptacja i podręcznik:</w:t>
            </w:r>
            <w:r w:rsidRPr="00E82A7E">
              <w:rPr>
                <w:bCs/>
                <w:color w:val="auto"/>
                <w:szCs w:val="17"/>
              </w:rPr>
              <w:t xml:space="preserve">  </w:t>
            </w:r>
            <w:r w:rsidRPr="00E82A7E">
              <w:rPr>
                <w:color w:val="auto"/>
                <w:szCs w:val="17"/>
              </w:rPr>
              <w:t xml:space="preserve">Aleksandra Jaworowska, Anna </w:t>
            </w:r>
            <w:r w:rsidRPr="00E82A7E">
              <w:rPr>
                <w:color w:val="auto"/>
                <w:sz w:val="22"/>
                <w:szCs w:val="17"/>
              </w:rPr>
              <w:t xml:space="preserve">Matczak, Diana </w:t>
            </w:r>
            <w:proofErr w:type="spellStart"/>
            <w:r w:rsidRPr="00E82A7E">
              <w:rPr>
                <w:color w:val="auto"/>
                <w:sz w:val="22"/>
                <w:szCs w:val="17"/>
              </w:rPr>
              <w:t>Fecenec</w:t>
            </w:r>
            <w:proofErr w:type="spellEnd"/>
            <w:r w:rsidRPr="00E82A7E">
              <w:rPr>
                <w:color w:val="auto"/>
                <w:szCs w:val="17"/>
              </w:rPr>
              <w:t>;</w:t>
            </w:r>
            <w:r w:rsidRPr="00E82A7E">
              <w:rPr>
                <w:rFonts w:ascii="Arial" w:hAnsi="Arial"/>
                <w:color w:val="131416"/>
                <w:szCs w:val="24"/>
              </w:rPr>
              <w:t xml:space="preserve"> </w:t>
            </w:r>
            <w:r w:rsidRPr="00E82A7E">
              <w:rPr>
                <w:color w:val="131416"/>
                <w:sz w:val="22"/>
                <w:szCs w:val="24"/>
              </w:rPr>
              <w:t xml:space="preserve">materiały: </w:t>
            </w:r>
            <w:r w:rsidRPr="00E82A7E">
              <w:rPr>
                <w:bCs/>
                <w:color w:val="131416"/>
                <w:sz w:val="22"/>
                <w:szCs w:val="24"/>
              </w:rPr>
              <w:t>komplet</w:t>
            </w:r>
            <w:r w:rsidRPr="00E82A7E">
              <w:rPr>
                <w:color w:val="131416"/>
                <w:sz w:val="22"/>
                <w:szCs w:val="24"/>
              </w:rPr>
              <w:t xml:space="preserve"> (pomoce w torbie, podręcznik, </w:t>
            </w:r>
            <w:r w:rsidRPr="00E82A7E">
              <w:rPr>
                <w:bCs/>
                <w:color w:val="131416"/>
                <w:sz w:val="22"/>
                <w:szCs w:val="17"/>
                <w:shd w:val="clear" w:color="auto" w:fill="FFFFFF"/>
              </w:rPr>
              <w:t>3 rodzaje -</w:t>
            </w:r>
            <w:r w:rsidRPr="00E82A7E">
              <w:rPr>
                <w:color w:val="131416"/>
                <w:sz w:val="22"/>
                <w:szCs w:val="24"/>
              </w:rPr>
              <w:t xml:space="preserve"> arkusze zapisu -25 szt., arkusze matematyka 25 szt., arkusze kaczuszki - 25szt.), podręcznik, pomoce w torbie, arkusze zapisu (25 szt.), arkusze matematyka (25 szt.), arkusze uwagi selektywnej - kaczuszki (25 szt.).</w:t>
            </w:r>
            <w:r w:rsidRPr="00E82A7E">
              <w:rPr>
                <w:rFonts w:ascii="Arial" w:hAnsi="Arial" w:cs="Arial"/>
                <w:b/>
                <w:bCs/>
                <w:color w:val="131416"/>
                <w:sz w:val="17"/>
                <w:szCs w:val="17"/>
                <w:shd w:val="clear" w:color="auto" w:fill="FFFFFF"/>
              </w:rPr>
              <w:t xml:space="preserve"> </w:t>
            </w:r>
          </w:p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>Instruktaż/szkolenie stosowania i interpretacji dla dwóch osób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  <w:r w:rsidRPr="00E82A7E">
              <w:rPr>
                <w:b/>
                <w:color w:val="auto"/>
                <w:szCs w:val="24"/>
              </w:rPr>
              <w:t>Szkolenie</w:t>
            </w:r>
            <w:r w:rsidRPr="00E82A7E">
              <w:rPr>
                <w:color w:val="auto"/>
                <w:szCs w:val="24"/>
              </w:rPr>
              <w:t xml:space="preserve"> „Stosowanie i interpretowanie </w:t>
            </w:r>
            <w:proofErr w:type="spellStart"/>
            <w:r w:rsidRPr="00E82A7E">
              <w:rPr>
                <w:color w:val="auto"/>
                <w:szCs w:val="24"/>
              </w:rPr>
              <w:t>Skal</w:t>
            </w:r>
            <w:proofErr w:type="spellEnd"/>
            <w:r w:rsidRPr="00E82A7E">
              <w:rPr>
                <w:color w:val="auto"/>
                <w:szCs w:val="24"/>
              </w:rPr>
              <w:t xml:space="preserve"> Inteligencji i Rozwoju IDS”, szkolenie 16 godz., którego celem jest nauka stosowania, obliczania i interpretowania wyników </w:t>
            </w:r>
            <w:proofErr w:type="spellStart"/>
            <w:r w:rsidRPr="00E82A7E">
              <w:rPr>
                <w:color w:val="auto"/>
                <w:szCs w:val="24"/>
              </w:rPr>
              <w:t>Skal</w:t>
            </w:r>
            <w:proofErr w:type="spellEnd"/>
            <w:r w:rsidRPr="00E82A7E">
              <w:rPr>
                <w:color w:val="auto"/>
                <w:szCs w:val="24"/>
              </w:rPr>
              <w:t xml:space="preserve"> Inteligencji i rozwoju IDS. Szkolenie obejmuje wykłady i ćwiczenia praktyczne. Szkolenie dla dwóch osób.</w:t>
            </w: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>Książka „IDS w praktyce psychologicznej”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after="200" w:line="276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E82A7E">
              <w:rPr>
                <w:rFonts w:eastAsia="Calibri"/>
                <w:color w:val="auto"/>
                <w:sz w:val="22"/>
                <w:lang w:eastAsia="en-US"/>
              </w:rPr>
              <w:t xml:space="preserve">1szt., autorzy: </w:t>
            </w:r>
            <w:hyperlink r:id="rId8" w:history="1">
              <w:proofErr w:type="spellStart"/>
              <w:r w:rsidRPr="00E82A7E">
                <w:rPr>
                  <w:rFonts w:eastAsia="Calibri"/>
                  <w:color w:val="auto"/>
                  <w:sz w:val="22"/>
                  <w:lang w:eastAsia="en-US"/>
                </w:rPr>
                <w:t>Fecenec</w:t>
              </w:r>
              <w:proofErr w:type="spellEnd"/>
              <w:r w:rsidRPr="00E82A7E">
                <w:rPr>
                  <w:rFonts w:eastAsia="Calibri"/>
                  <w:color w:val="auto"/>
                  <w:sz w:val="22"/>
                  <w:lang w:eastAsia="en-US"/>
                </w:rPr>
                <w:t xml:space="preserve"> Diana</w:t>
              </w:r>
            </w:hyperlink>
            <w:r w:rsidRPr="00E82A7E">
              <w:rPr>
                <w:rFonts w:eastAsia="Calibri"/>
                <w:color w:val="auto"/>
                <w:sz w:val="22"/>
                <w:lang w:eastAsia="en-US"/>
              </w:rPr>
              <w:t>, </w:t>
            </w:r>
            <w:hyperlink r:id="rId9" w:history="1">
              <w:r w:rsidRPr="00E82A7E">
                <w:rPr>
                  <w:rFonts w:eastAsia="Calibri"/>
                  <w:color w:val="auto"/>
                  <w:sz w:val="22"/>
                  <w:lang w:eastAsia="en-US"/>
                </w:rPr>
                <w:t>Jaworowska Aleksandra</w:t>
              </w:r>
            </w:hyperlink>
            <w:r w:rsidRPr="00E82A7E">
              <w:rPr>
                <w:rFonts w:eastAsia="Calibri"/>
                <w:color w:val="auto"/>
                <w:sz w:val="22"/>
                <w:lang w:eastAsia="en-US"/>
              </w:rPr>
              <w:t xml:space="preserve">, </w:t>
            </w:r>
            <w:hyperlink r:id="rId10" w:history="1">
              <w:r w:rsidRPr="00E82A7E">
                <w:rPr>
                  <w:rFonts w:eastAsia="Calibri"/>
                  <w:color w:val="auto"/>
                  <w:sz w:val="22"/>
                  <w:lang w:eastAsia="en-US"/>
                </w:rPr>
                <w:t>Matczak Anna</w:t>
              </w:r>
            </w:hyperlink>
            <w:r w:rsidRPr="00E82A7E">
              <w:rPr>
                <w:rFonts w:eastAsia="Calibri"/>
                <w:color w:val="auto"/>
                <w:sz w:val="22"/>
                <w:lang w:eastAsia="en-US"/>
              </w:rPr>
              <w:t>, </w:t>
            </w:r>
            <w:proofErr w:type="spellStart"/>
            <w:r w:rsidRPr="00E82A7E">
              <w:rPr>
                <w:rFonts w:eastAsia="Calibri"/>
                <w:color w:val="auto"/>
                <w:sz w:val="22"/>
                <w:lang w:eastAsia="en-US"/>
              </w:rPr>
              <w:fldChar w:fldCharType="begin"/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instrText xml:space="preserve"> HYPERLINK "https://www.practest.com.pl/ksiazki-autor/Potapska%20Agata" </w:instrText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fldChar w:fldCharType="separate"/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t>Potapska</w:t>
            </w:r>
            <w:proofErr w:type="spellEnd"/>
            <w:r w:rsidRPr="00E82A7E">
              <w:rPr>
                <w:rFonts w:eastAsia="Calibri"/>
                <w:color w:val="auto"/>
                <w:sz w:val="22"/>
                <w:lang w:eastAsia="en-US"/>
              </w:rPr>
              <w:t xml:space="preserve"> Agata</w:t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fldChar w:fldCharType="end"/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t>, </w:t>
            </w:r>
            <w:hyperlink r:id="rId11" w:history="1">
              <w:r w:rsidRPr="00E82A7E">
                <w:rPr>
                  <w:rFonts w:eastAsia="Calibri"/>
                  <w:color w:val="auto"/>
                  <w:sz w:val="22"/>
                  <w:lang w:eastAsia="en-US"/>
                </w:rPr>
                <w:t>Kaczan Radosław</w:t>
              </w:r>
            </w:hyperlink>
            <w:r w:rsidRPr="00E82A7E">
              <w:rPr>
                <w:rFonts w:eastAsia="Calibri"/>
                <w:color w:val="auto"/>
                <w:sz w:val="22"/>
                <w:lang w:eastAsia="en-US"/>
              </w:rPr>
              <w:t>, </w:t>
            </w:r>
            <w:proofErr w:type="spellStart"/>
            <w:r w:rsidRPr="00E82A7E">
              <w:rPr>
                <w:rFonts w:eastAsia="Calibri"/>
                <w:color w:val="auto"/>
                <w:sz w:val="22"/>
                <w:lang w:eastAsia="en-US"/>
              </w:rPr>
              <w:fldChar w:fldCharType="begin"/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instrText xml:space="preserve"> HYPERLINK "https://www.practest.com.pl/ksiazki-autor/Rycielski%20Piotr" </w:instrText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fldChar w:fldCharType="separate"/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t>Rycielski</w:t>
            </w:r>
            <w:proofErr w:type="spellEnd"/>
            <w:r w:rsidRPr="00E82A7E">
              <w:rPr>
                <w:rFonts w:eastAsia="Calibri"/>
                <w:color w:val="auto"/>
                <w:sz w:val="22"/>
                <w:lang w:eastAsia="en-US"/>
              </w:rPr>
              <w:t xml:space="preserve"> Piotr</w:t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fldChar w:fldCharType="end"/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t xml:space="preserve">; wydawca: </w:t>
            </w:r>
            <w:hyperlink r:id="rId12" w:history="1">
              <w:r w:rsidRPr="00E82A7E">
                <w:rPr>
                  <w:rFonts w:eastAsia="Calibri"/>
                  <w:color w:val="auto"/>
                  <w:sz w:val="22"/>
                  <w:lang w:eastAsia="en-US"/>
                </w:rPr>
                <w:t>PTP/PTP</w:t>
              </w:r>
            </w:hyperlink>
            <w:r w:rsidRPr="00E82A7E">
              <w:rPr>
                <w:rFonts w:eastAsia="Calibri"/>
                <w:color w:val="auto"/>
                <w:sz w:val="22"/>
                <w:lang w:eastAsia="en-US"/>
              </w:rPr>
              <w:t>, rok 2017, wydanie I, Format: 16.5x23.4cm, oprawa: miękka, liczba stron:72</w:t>
            </w:r>
          </w:p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>Diagnoza Więzi Rodzinnych dzieci i Młodzieży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beforeAutospacing="1" w:after="0" w:afterAutospacing="1" w:line="240" w:lineRule="auto"/>
              <w:ind w:left="0" w:firstLine="0"/>
              <w:jc w:val="left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E82A7E">
              <w:rPr>
                <w:rFonts w:ascii="Calibri" w:eastAsia="Calibri" w:hAnsi="Calibri" w:cs="Arial"/>
                <w:color w:val="auto"/>
                <w:sz w:val="22"/>
                <w:szCs w:val="20"/>
                <w:shd w:val="clear" w:color="auto" w:fill="FFFFFF"/>
                <w:lang w:eastAsia="en-US"/>
              </w:rPr>
              <w:t xml:space="preserve">1szt., </w:t>
            </w:r>
            <w:r w:rsidRPr="00E82A7E">
              <w:rPr>
                <w:rFonts w:eastAsia="Calibri"/>
                <w:color w:val="111111"/>
                <w:sz w:val="22"/>
                <w:szCs w:val="18"/>
                <w:shd w:val="clear" w:color="auto" w:fill="FFFFFF"/>
                <w:lang w:eastAsia="en-US"/>
              </w:rPr>
              <w:t>narzędzie składa się z 15 zabaw opisanych w podręczniku, oraz przygotowanych do ich przeprowadzenia pomocy</w:t>
            </w:r>
            <w:r w:rsidRPr="00E82A7E">
              <w:rPr>
                <w:rFonts w:eastAsia="Calibri"/>
                <w:color w:val="111111"/>
                <w:sz w:val="22"/>
                <w:shd w:val="clear" w:color="auto" w:fill="FFFFFF"/>
                <w:lang w:eastAsia="en-US"/>
              </w:rPr>
              <w:t xml:space="preserve">; </w:t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t> </w:t>
            </w:r>
            <w:r w:rsidRPr="00E82A7E">
              <w:rPr>
                <w:bCs/>
                <w:color w:val="111111"/>
                <w:sz w:val="22"/>
              </w:rPr>
              <w:t>autorzy: </w:t>
            </w:r>
            <w:r w:rsidRPr="00E82A7E">
              <w:rPr>
                <w:color w:val="111111"/>
                <w:sz w:val="22"/>
              </w:rPr>
              <w:t>Aleksandra Lewandowska-Walter, Magdalena Błażek, Witold Bruski</w:t>
            </w:r>
            <w:r w:rsidRPr="00E82A7E">
              <w:rPr>
                <w:rFonts w:ascii="Arial" w:hAnsi="Arial" w:cs="Arial"/>
                <w:color w:val="111111"/>
                <w:sz w:val="18"/>
                <w:szCs w:val="18"/>
              </w:rPr>
              <w:t>.</w:t>
            </w:r>
          </w:p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 xml:space="preserve">Test Relacji Rodzinnych (TRR)  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beforeAutospacing="1" w:after="0" w:afterAutospacing="1" w:line="240" w:lineRule="auto"/>
              <w:ind w:left="0" w:firstLine="0"/>
              <w:rPr>
                <w:color w:val="111111"/>
                <w:sz w:val="28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 xml:space="preserve">1 </w:t>
            </w:r>
            <w:proofErr w:type="spellStart"/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>kompl</w:t>
            </w:r>
            <w:proofErr w:type="spellEnd"/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 xml:space="preserve">., narzędzie </w:t>
            </w:r>
            <w:r w:rsidRPr="00E82A7E">
              <w:rPr>
                <w:rFonts w:eastAsia="Calibri"/>
                <w:color w:val="111111"/>
                <w:sz w:val="22"/>
                <w:shd w:val="clear" w:color="auto" w:fill="FFFFFF"/>
                <w:lang w:eastAsia="en-US"/>
              </w:rPr>
              <w:t xml:space="preserve"> służące do badania dzieci w wieku 6–14 lat, przy czym uwzględniono w nim wersję dla dzieci młodszych (6–9 lat) i wersję dla dzieci starszych (10–14 lat). Narzędzie pozwala uzyskać informacje o formie relacji w rodzinie oraz jakości relacji pomiędzy jej członkami; </w:t>
            </w:r>
            <w:r w:rsidRPr="00E82A7E">
              <w:rPr>
                <w:bCs/>
                <w:sz w:val="22"/>
              </w:rPr>
              <w:t>autorzy:</w:t>
            </w:r>
            <w:r w:rsidRPr="00E82A7E">
              <w:rPr>
                <w:sz w:val="22"/>
                <w:bdr w:val="none" w:sz="0" w:space="0" w:color="auto" w:frame="1"/>
              </w:rPr>
              <w:t xml:space="preserve"> Aleksandra Lewandowska-Walter, Magdalena Błażek. </w:t>
            </w:r>
            <w:r w:rsidRPr="00E82A7E">
              <w:rPr>
                <w:rFonts w:eastAsia="Calibri"/>
                <w:color w:val="111111"/>
                <w:sz w:val="22"/>
                <w:szCs w:val="18"/>
                <w:shd w:val="clear" w:color="auto" w:fill="FFFFFF"/>
                <w:lang w:eastAsia="en-US"/>
              </w:rPr>
              <w:t>Test składający się z zestawu figurek symbolizujących członków rodziny, zestawu wiadomości SMS (komunikatów wysyłanych poszczególnym członkom rodziny), dwóch "</w:t>
            </w:r>
            <w:proofErr w:type="spellStart"/>
            <w:r w:rsidRPr="00E82A7E">
              <w:rPr>
                <w:rFonts w:eastAsia="Calibri"/>
                <w:color w:val="111111"/>
                <w:sz w:val="22"/>
                <w:szCs w:val="18"/>
                <w:shd w:val="clear" w:color="auto" w:fill="FFFFFF"/>
                <w:lang w:eastAsia="en-US"/>
              </w:rPr>
              <w:t>smartfonów</w:t>
            </w:r>
            <w:proofErr w:type="spellEnd"/>
            <w:r w:rsidRPr="00E82A7E">
              <w:rPr>
                <w:rFonts w:eastAsia="Calibri"/>
                <w:color w:val="111111"/>
                <w:sz w:val="22"/>
                <w:szCs w:val="18"/>
                <w:shd w:val="clear" w:color="auto" w:fill="FFFFFF"/>
                <w:lang w:eastAsia="en-US"/>
              </w:rPr>
              <w:t>" z których dziecko wysyła wiadomości, planszy służącej do rozmieszczenia poszczególnych osób oraz klocków, służących do oznaczania hierarchii w rodzinie. Zestaw testowy zawiera ponadto podręcznik oraz protokoły badania. </w:t>
            </w:r>
          </w:p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 xml:space="preserve">KRR – Kwestionariusz Relacji Rodzinnych 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after="0" w:line="330" w:lineRule="atLeast"/>
              <w:ind w:left="0" w:firstLine="0"/>
              <w:rPr>
                <w:bCs/>
                <w:color w:val="auto"/>
                <w:sz w:val="32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 xml:space="preserve">1komp., </w:t>
            </w:r>
            <w:r w:rsidRPr="00E82A7E">
              <w:rPr>
                <w:rFonts w:eastAsia="Calibri"/>
                <w:color w:val="131416"/>
                <w:sz w:val="22"/>
                <w:lang w:eastAsia="en-US"/>
              </w:rPr>
              <w:t xml:space="preserve">kwestionariusz mający sześć wersji służących do oceny: rodziny jako całości - </w:t>
            </w:r>
            <w:r w:rsidRPr="00E82A7E">
              <w:rPr>
                <w:color w:val="131416"/>
                <w:sz w:val="22"/>
              </w:rPr>
              <w:t xml:space="preserve">wersja Moja Rodzina zawierająca 32 pozycje oceniające komunikację, spójność, autonomię – kontrola i tożsamość; rodziców jako pary małżeńskiej - wersja Moi Rodzice jako Małżeństwo zawierająca 16 pozycji oceniających komunikację i spójność; relacji z matką - wersja Moja Matka zawierająca 24 pozycje oceniające </w:t>
            </w:r>
            <w:r w:rsidRPr="00E82A7E">
              <w:rPr>
                <w:color w:val="131416"/>
                <w:sz w:val="22"/>
              </w:rPr>
              <w:lastRenderedPageBreak/>
              <w:t xml:space="preserve">komunikację, spójność i autonomię – kontrola;  relacji z ojcem - wersja Mój Ojciec zawierająca 24 pozycje  oceniające komunikację, spójność i autonomię – kontrola;  wyobrażenia na temat -  jak relacje z danym dzieckiem ocenia matka -  wersja Ja w Oczach Matki zawierająca 24 pozycje oceniające komunikację, spójność oraz autonomię – kontrola; wyobrażenia na temat - jak relacje z danym dzieckiem ocenia ojciec - wersja Ja w Oczach Ojca, zawierająca 24 pozycje oceniające </w:t>
            </w:r>
            <w:r w:rsidRPr="00E82A7E">
              <w:rPr>
                <w:color w:val="auto"/>
                <w:sz w:val="22"/>
              </w:rPr>
              <w:t xml:space="preserve">komunikację, spójność oraz autonomię – kontrola; </w:t>
            </w:r>
            <w:r w:rsidRPr="00E82A7E">
              <w:rPr>
                <w:bCs/>
                <w:color w:val="auto"/>
                <w:sz w:val="22"/>
              </w:rPr>
              <w:t>autor:</w:t>
            </w:r>
            <w:r w:rsidRPr="00E82A7E">
              <w:rPr>
                <w:b/>
                <w:bCs/>
                <w:color w:val="auto"/>
                <w:sz w:val="22"/>
              </w:rPr>
              <w:t xml:space="preserve"> </w:t>
            </w:r>
            <w:r w:rsidRPr="00E82A7E">
              <w:rPr>
                <w:color w:val="auto"/>
                <w:sz w:val="22"/>
              </w:rPr>
              <w:t xml:space="preserve">Mieczysław </w:t>
            </w:r>
            <w:proofErr w:type="spellStart"/>
            <w:r w:rsidRPr="00E82A7E">
              <w:rPr>
                <w:color w:val="auto"/>
                <w:sz w:val="22"/>
              </w:rPr>
              <w:t>Plopa</w:t>
            </w:r>
            <w:proofErr w:type="spellEnd"/>
            <w:r w:rsidRPr="00E82A7E">
              <w:rPr>
                <w:color w:val="auto"/>
                <w:sz w:val="22"/>
              </w:rPr>
              <w:t xml:space="preserve"> i Piotr Połomski; </w:t>
            </w:r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 xml:space="preserve">KRR Komplet (podręcznik,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>kpl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 xml:space="preserve"> arkuszy- po 50egz.), w tym: KRR-podręcznik-Kwestionariusz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>Relacjii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 xml:space="preserve"> Rodzinnych(miękka oprawa), KRR6-ark.pyt.kpl.(50egz.)Ja w oczach ojca-co mój ojciec sądzi o mnie, KRR5-ark.pyt.kpl.(50egz.)Ja w oczach matki-co moja matka sądzi o mnie, KRR5-6-ark.obl.kpl.(50egz.)Ja w oczach matki, ojca (wspólny), KRR4-ark.pyt.kpl.(50egz.) Mój ojciec, KRR3 ark. pyt.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>kpl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 xml:space="preserve">.(50egz.)Moja matka, KRR3-4-ark.obl.kpl.(50egz.)Moja matka, mój ojciec, KRR2-ark.pyt.kpl.(50egz.)Moi rodzice jako małżeństwo, KRR1A-ark.obl.kpl.(50egz.)Moja rodzina, KRR1-ark.pyt..kpl.(50egz.)Moja rodzina. </w:t>
            </w:r>
          </w:p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 xml:space="preserve">LBQ Kwestionariusz Wypalenia Zawodowego 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after="200" w:line="330" w:lineRule="atLeast"/>
              <w:ind w:left="0" w:firstLine="0"/>
              <w:rPr>
                <w:bCs/>
                <w:color w:val="auto"/>
                <w:sz w:val="22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 xml:space="preserve">1 komp., </w:t>
            </w:r>
            <w:r w:rsidRPr="00E82A7E">
              <w:rPr>
                <w:rFonts w:eastAsia="Calibri"/>
                <w:color w:val="131416"/>
                <w:sz w:val="22"/>
                <w:lang w:eastAsia="en-US"/>
              </w:rPr>
              <w:t xml:space="preserve">LBQ składa się z 24 pozycji opisujących odczucia osoby badanej dotyczące jej pracy zawodowej; autor: </w:t>
            </w:r>
            <w:proofErr w:type="spellStart"/>
            <w:r w:rsidRPr="00E82A7E">
              <w:rPr>
                <w:rFonts w:eastAsia="Calibri"/>
                <w:color w:val="131416"/>
                <w:sz w:val="22"/>
                <w:shd w:val="clear" w:color="auto" w:fill="F8F8F8"/>
                <w:lang w:eastAsia="en-US"/>
              </w:rPr>
              <w:t>Massimo</w:t>
            </w:r>
            <w:proofErr w:type="spellEnd"/>
            <w:r w:rsidRPr="00E82A7E">
              <w:rPr>
                <w:rFonts w:eastAsia="Calibri"/>
                <w:color w:val="131416"/>
                <w:sz w:val="22"/>
                <w:shd w:val="clear" w:color="auto" w:fill="F8F8F8"/>
                <w:lang w:eastAsia="en-US"/>
              </w:rPr>
              <w:t xml:space="preserve"> </w:t>
            </w:r>
            <w:proofErr w:type="spellStart"/>
            <w:r w:rsidRPr="00E82A7E">
              <w:rPr>
                <w:rFonts w:eastAsia="Calibri"/>
                <w:color w:val="131416"/>
                <w:sz w:val="22"/>
                <w:shd w:val="clear" w:color="auto" w:fill="F8F8F8"/>
                <w:lang w:eastAsia="en-US"/>
              </w:rPr>
              <w:t>Santinello</w:t>
            </w:r>
            <w:proofErr w:type="spellEnd"/>
            <w:r w:rsidRPr="00E82A7E">
              <w:rPr>
                <w:rFonts w:eastAsia="Calibri"/>
                <w:color w:val="131416"/>
                <w:sz w:val="22"/>
                <w:shd w:val="clear" w:color="auto" w:fill="F8F8F8"/>
                <w:lang w:eastAsia="en-US"/>
              </w:rPr>
              <w:t xml:space="preserve">, </w:t>
            </w:r>
            <w:r w:rsidRPr="00E82A7E">
              <w:rPr>
                <w:rFonts w:eastAsia="Calibri"/>
                <w:color w:val="auto"/>
                <w:sz w:val="22"/>
                <w:shd w:val="clear" w:color="auto" w:fill="F8F8F8"/>
                <w:lang w:eastAsia="en-US"/>
              </w:rPr>
              <w:t>a</w:t>
            </w:r>
            <w:r w:rsidRPr="00E82A7E">
              <w:rPr>
                <w:bCs/>
                <w:color w:val="auto"/>
                <w:sz w:val="22"/>
              </w:rPr>
              <w:t xml:space="preserve">utorzy polskiej adaptacji: </w:t>
            </w:r>
            <w:r w:rsidRPr="00E82A7E">
              <w:rPr>
                <w:color w:val="131416"/>
                <w:sz w:val="22"/>
              </w:rPr>
              <w:t xml:space="preserve">Zespół Pracowni Testów Psychologicznych Polskiego Towarzystwa Psychologicznego; </w:t>
            </w:r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 xml:space="preserve">LBQ KOMPLET (podręcznik oryginalny, polska normalizacja, arkusze z kluczem 25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>egz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>), w tym:</w:t>
            </w:r>
            <w:r w:rsidRPr="00E82A7E">
              <w:rPr>
                <w:rFonts w:eastAsia="Calibri"/>
                <w:bCs/>
                <w:color w:val="131416"/>
                <w:sz w:val="32"/>
                <w:szCs w:val="17"/>
                <w:shd w:val="clear" w:color="auto" w:fill="FFFFFF"/>
                <w:lang w:eastAsia="en-US"/>
              </w:rPr>
              <w:t xml:space="preserve"> </w:t>
            </w:r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 xml:space="preserve">LBQ-podręcznik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>oryginalny-Kwestionariusz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 xml:space="preserve"> Wypalenia Zawodowego, LBQ-polska normalizacja-Kwestionariusz Wypalenia Zawodowego, LBQ- ark. odp. z kluczem -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>kpl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zCs w:val="17"/>
                <w:shd w:val="clear" w:color="auto" w:fill="FFFFFF"/>
                <w:lang w:eastAsia="en-US"/>
              </w:rPr>
              <w:t xml:space="preserve">. (25egz.), e -LBQ jednostka badaniowa, e -LBQ jednostka badawcza (bez raportu), e -LBQ wprowadzenie wyników. </w:t>
            </w:r>
          </w:p>
          <w:tbl>
            <w:tblPr>
              <w:tblW w:w="1362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89"/>
              <w:gridCol w:w="4931"/>
            </w:tblGrid>
            <w:tr w:rsidR="00E82A7E" w:rsidRPr="00E82A7E" w:rsidTr="00E74077">
              <w:tc>
                <w:tcPr>
                  <w:tcW w:w="4287" w:type="dxa"/>
                  <w:tcMar>
                    <w:top w:w="15" w:type="dxa"/>
                    <w:left w:w="15" w:type="dxa"/>
                    <w:bottom w:w="120" w:type="dxa"/>
                    <w:right w:w="15" w:type="dxa"/>
                  </w:tcMar>
                  <w:vAlign w:val="center"/>
                  <w:hideMark/>
                </w:tcPr>
                <w:p w:rsidR="00E82A7E" w:rsidRPr="00E82A7E" w:rsidRDefault="00E82A7E" w:rsidP="00E82A7E">
                  <w:pPr>
                    <w:spacing w:before="240" w:after="240" w:line="219" w:lineRule="atLeast"/>
                    <w:ind w:left="0" w:firstLine="0"/>
                    <w:jc w:val="left"/>
                    <w:rPr>
                      <w:rFonts w:ascii="Arial" w:hAnsi="Arial" w:cs="Arial"/>
                      <w:b/>
                      <w:color w:val="26A5CF"/>
                      <w:sz w:val="18"/>
                      <w:szCs w:val="18"/>
                    </w:rPr>
                  </w:pPr>
                </w:p>
              </w:tc>
              <w:tc>
                <w:tcPr>
                  <w:tcW w:w="2433" w:type="dxa"/>
                  <w:tcMar>
                    <w:top w:w="15" w:type="dxa"/>
                    <w:left w:w="15" w:type="dxa"/>
                    <w:bottom w:w="120" w:type="dxa"/>
                    <w:right w:w="15" w:type="dxa"/>
                  </w:tcMar>
                  <w:vAlign w:val="center"/>
                  <w:hideMark/>
                </w:tcPr>
                <w:p w:rsidR="00E82A7E" w:rsidRPr="00E82A7E" w:rsidRDefault="00E82A7E" w:rsidP="00E82A7E">
                  <w:pPr>
                    <w:spacing w:after="0" w:line="219" w:lineRule="atLeast"/>
                    <w:ind w:left="0" w:firstLine="0"/>
                    <w:jc w:val="left"/>
                    <w:rPr>
                      <w:rFonts w:ascii="Arial" w:hAnsi="Arial" w:cs="Arial"/>
                      <w:b/>
                      <w:bCs/>
                      <w:color w:val="131416"/>
                      <w:sz w:val="17"/>
                      <w:szCs w:val="17"/>
                    </w:rPr>
                  </w:pPr>
                  <w:r w:rsidRPr="00E82A7E">
                    <w:rPr>
                      <w:rFonts w:ascii="Arial" w:hAnsi="Arial" w:cs="Arial"/>
                      <w:b/>
                      <w:bCs/>
                      <w:color w:val="131416"/>
                      <w:sz w:val="17"/>
                      <w:szCs w:val="17"/>
                    </w:rPr>
                    <w:t>LBQ-polska normalizacja-Kwestionariusz Wypalenia Zawodowego</w:t>
                  </w:r>
                </w:p>
              </w:tc>
            </w:tr>
          </w:tbl>
          <w:p w:rsidR="00E82A7E" w:rsidRPr="00E82A7E" w:rsidRDefault="00E82A7E" w:rsidP="00E82A7E">
            <w:pPr>
              <w:spacing w:after="200" w:line="330" w:lineRule="atLeast"/>
              <w:ind w:left="0" w:firstLine="0"/>
              <w:rPr>
                <w:bCs/>
                <w:color w:val="auto"/>
                <w:sz w:val="22"/>
              </w:rPr>
            </w:pP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 xml:space="preserve">KPS – Kwestionariusz Poczucia Stresu 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after="200" w:line="330" w:lineRule="atLeast"/>
              <w:ind w:left="0" w:firstLine="0"/>
              <w:rPr>
                <w:bCs/>
                <w:color w:val="auto"/>
                <w:sz w:val="22"/>
              </w:rPr>
            </w:pPr>
            <w:r w:rsidRPr="00E82A7E">
              <w:rPr>
                <w:rFonts w:eastAsia="Calibri"/>
                <w:color w:val="auto"/>
                <w:sz w:val="22"/>
                <w:shd w:val="clear" w:color="auto" w:fill="FFFFFF"/>
                <w:lang w:eastAsia="en-US"/>
              </w:rPr>
              <w:t xml:space="preserve">1 komp., </w:t>
            </w:r>
            <w:r w:rsidRPr="00E82A7E">
              <w:rPr>
                <w:rFonts w:eastAsia="Calibri"/>
                <w:color w:val="131416"/>
                <w:sz w:val="22"/>
                <w:lang w:eastAsia="en-US"/>
              </w:rPr>
              <w:t xml:space="preserve">Kwestionariusz przeznaczony jest do pomiaru struktury doznań stresowych; Kwestionariusz składa się z 27 stwierdzeń; badany określa stopień, w jakim dane stwierdzenie go dotyczy, korzystając z pięciostopniowej skali, której krańce opisują odpowiedzi „Prawda” i „Nieprawda”; </w:t>
            </w:r>
            <w:r w:rsidRPr="00E82A7E">
              <w:rPr>
                <w:bCs/>
                <w:color w:val="auto"/>
                <w:sz w:val="22"/>
              </w:rPr>
              <w:t xml:space="preserve">autorzy: </w:t>
            </w:r>
            <w:r w:rsidRPr="00E82A7E">
              <w:rPr>
                <w:color w:val="131416"/>
                <w:sz w:val="22"/>
              </w:rPr>
              <w:t xml:space="preserve">Mieczysław </w:t>
            </w:r>
            <w:proofErr w:type="spellStart"/>
            <w:r w:rsidRPr="00E82A7E">
              <w:rPr>
                <w:color w:val="131416"/>
                <w:sz w:val="22"/>
              </w:rPr>
              <w:t>Plopa</w:t>
            </w:r>
            <w:proofErr w:type="spellEnd"/>
            <w:r w:rsidRPr="00E82A7E">
              <w:rPr>
                <w:color w:val="131416"/>
                <w:sz w:val="22"/>
              </w:rPr>
              <w:t xml:space="preserve"> i Ryszard Makarowski; </w:t>
            </w:r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 xml:space="preserve">KPS Komplet (podręcznik,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kpl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 xml:space="preserve">. arkuszy- po 50egz.), w tym: KPS-podręcznik- Kwestionariusz Poczucia Stresu (miękka oprawa), KPS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ark.pyt.wersja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 xml:space="preserve"> dla mężczyzny(50egz.), KPS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ark.pyt.wersja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 xml:space="preserve"> dla kobiet (50egz.), KPS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ark.obliczeniowy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 xml:space="preserve">(50egz.). </w:t>
            </w: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</w:tr>
      <w:tr w:rsidR="00E82A7E" w:rsidRPr="00E82A7E" w:rsidTr="00272F22">
        <w:tc>
          <w:tcPr>
            <w:tcW w:w="817" w:type="dxa"/>
          </w:tcPr>
          <w:p w:rsidR="00E82A7E" w:rsidRPr="00E82A7E" w:rsidRDefault="00E82A7E" w:rsidP="00E82A7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 xml:space="preserve">IAS Interpersonalne Skale Przymiotnikowe </w:t>
            </w:r>
            <w:proofErr w:type="spellStart"/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>Jerry'ego</w:t>
            </w:r>
            <w:proofErr w:type="spellEnd"/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 xml:space="preserve"> </w:t>
            </w:r>
            <w:proofErr w:type="spellStart"/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>Wigginsa</w:t>
            </w:r>
            <w:proofErr w:type="spellEnd"/>
            <w:r w:rsidRPr="00E82A7E">
              <w:rPr>
                <w:rFonts w:eastAsia="Calibri" w:cs="Arial"/>
                <w:color w:val="auto"/>
                <w:sz w:val="22"/>
                <w:lang w:eastAsia="en-US"/>
              </w:rPr>
              <w:t xml:space="preserve"> </w:t>
            </w:r>
          </w:p>
        </w:tc>
        <w:tc>
          <w:tcPr>
            <w:tcW w:w="7797" w:type="dxa"/>
            <w:gridSpan w:val="2"/>
          </w:tcPr>
          <w:p w:rsidR="00E82A7E" w:rsidRPr="00E82A7E" w:rsidRDefault="00E82A7E" w:rsidP="00E82A7E">
            <w:pPr>
              <w:spacing w:after="200" w:line="330" w:lineRule="atLeast"/>
              <w:ind w:left="0" w:firstLine="0"/>
              <w:rPr>
                <w:bCs/>
                <w:color w:val="auto"/>
                <w:sz w:val="22"/>
                <w:szCs w:val="17"/>
              </w:rPr>
            </w:pPr>
            <w:r w:rsidRPr="00E82A7E">
              <w:rPr>
                <w:rFonts w:ascii="Calibri" w:eastAsia="Calibri" w:hAnsi="Calibri" w:cs="Arial"/>
                <w:color w:val="auto"/>
                <w:sz w:val="22"/>
                <w:szCs w:val="20"/>
                <w:shd w:val="clear" w:color="auto" w:fill="FFFFFF"/>
                <w:lang w:eastAsia="en-US"/>
              </w:rPr>
              <w:t>1 komp.</w:t>
            </w:r>
            <w:r w:rsidRPr="00E82A7E">
              <w:rPr>
                <w:rFonts w:ascii="Arial" w:eastAsia="Calibri" w:hAnsi="Arial" w:cs="Arial"/>
                <w:color w:val="131416"/>
                <w:sz w:val="22"/>
                <w:lang w:eastAsia="en-US"/>
              </w:rPr>
              <w:t xml:space="preserve"> </w:t>
            </w:r>
            <w:r w:rsidRPr="00E82A7E">
              <w:rPr>
                <w:rFonts w:eastAsia="Calibri"/>
                <w:color w:val="131416"/>
                <w:sz w:val="22"/>
                <w:lang w:eastAsia="en-US"/>
              </w:rPr>
              <w:t xml:space="preserve">narzędzie </w:t>
            </w:r>
            <w:proofErr w:type="spellStart"/>
            <w:r w:rsidRPr="00E82A7E">
              <w:rPr>
                <w:rFonts w:eastAsia="Calibri"/>
                <w:color w:val="131416"/>
                <w:sz w:val="22"/>
                <w:lang w:eastAsia="en-US"/>
              </w:rPr>
              <w:t>samoopisowe</w:t>
            </w:r>
            <w:proofErr w:type="spellEnd"/>
            <w:r w:rsidRPr="00E82A7E">
              <w:rPr>
                <w:rFonts w:eastAsia="Calibri"/>
                <w:color w:val="131416"/>
                <w:sz w:val="22"/>
                <w:lang w:eastAsia="en-US"/>
              </w:rPr>
              <w:t xml:space="preserve"> służące do pomiaru cech, które charakteryzują człowieka w relacjach z innymi ludźmi. Składa się z 64 przymiotników;</w:t>
            </w:r>
            <w:r w:rsidRPr="00E82A7E">
              <w:rPr>
                <w:rFonts w:ascii="Calibri" w:eastAsia="Calibri" w:hAnsi="Calibri" w:cs="Arial"/>
                <w:color w:val="131416"/>
                <w:sz w:val="22"/>
                <w:lang w:eastAsia="en-US"/>
              </w:rPr>
              <w:t xml:space="preserve"> </w:t>
            </w:r>
            <w:r w:rsidRPr="00E82A7E">
              <w:rPr>
                <w:rFonts w:eastAsia="Calibri"/>
                <w:color w:val="auto"/>
                <w:sz w:val="22"/>
                <w:lang w:eastAsia="en-US"/>
              </w:rPr>
              <w:t>a</w:t>
            </w:r>
            <w:r w:rsidRPr="00E82A7E">
              <w:rPr>
                <w:bCs/>
                <w:color w:val="auto"/>
                <w:sz w:val="22"/>
              </w:rPr>
              <w:t>utor:</w:t>
            </w:r>
            <w:r w:rsidRPr="00E82A7E">
              <w:rPr>
                <w:rFonts w:ascii="Arial" w:hAnsi="Arial" w:cs="Arial"/>
                <w:b/>
                <w:bCs/>
                <w:color w:val="999999"/>
                <w:sz w:val="17"/>
                <w:szCs w:val="17"/>
              </w:rPr>
              <w:t xml:space="preserve"> </w:t>
            </w:r>
            <w:proofErr w:type="spellStart"/>
            <w:r w:rsidRPr="00E82A7E">
              <w:rPr>
                <w:color w:val="131416"/>
                <w:sz w:val="22"/>
                <w:szCs w:val="17"/>
              </w:rPr>
              <w:t>Jerry</w:t>
            </w:r>
            <w:proofErr w:type="spellEnd"/>
            <w:r w:rsidRPr="00E82A7E">
              <w:rPr>
                <w:color w:val="131416"/>
                <w:sz w:val="22"/>
                <w:szCs w:val="17"/>
              </w:rPr>
              <w:t xml:space="preserve"> S. </w:t>
            </w:r>
            <w:proofErr w:type="spellStart"/>
            <w:r w:rsidRPr="00E82A7E">
              <w:rPr>
                <w:color w:val="131416"/>
                <w:sz w:val="22"/>
                <w:szCs w:val="17"/>
              </w:rPr>
              <w:t>Wiggins</w:t>
            </w:r>
            <w:proofErr w:type="spellEnd"/>
            <w:r w:rsidRPr="00E82A7E">
              <w:rPr>
                <w:color w:val="131416"/>
                <w:sz w:val="22"/>
                <w:szCs w:val="17"/>
              </w:rPr>
              <w:t xml:space="preserve">; </w:t>
            </w:r>
            <w:r w:rsidRPr="00E82A7E">
              <w:rPr>
                <w:bCs/>
                <w:color w:val="auto"/>
                <w:sz w:val="22"/>
                <w:szCs w:val="17"/>
              </w:rPr>
              <w:t xml:space="preserve">Polska adaptacja i podręcznik: </w:t>
            </w:r>
            <w:r w:rsidRPr="00E82A7E">
              <w:rPr>
                <w:color w:val="auto"/>
                <w:sz w:val="22"/>
                <w:szCs w:val="17"/>
              </w:rPr>
              <w:t xml:space="preserve">Andrzej E. Sękowski, Waldemar </w:t>
            </w:r>
            <w:r w:rsidRPr="00E82A7E">
              <w:rPr>
                <w:color w:val="auto"/>
                <w:sz w:val="22"/>
              </w:rPr>
              <w:t xml:space="preserve">Klinkosz; </w:t>
            </w:r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 xml:space="preserve">IAS Komplet (podr. polski, podr. oryg., 25 ark. testowych, 25 ark. wyników, 25 ark. słownik), w tym: IAS- Podręcznik oryginalny, IAS- Podręcznik polski, IAS- ark. 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testowy-kpl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.(25egz.), IAS- ark. wyników-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kpl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(25egz.), IAS- ark. słownik-</w:t>
            </w:r>
            <w:proofErr w:type="spellStart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kpl</w:t>
            </w:r>
            <w:proofErr w:type="spellEnd"/>
            <w:r w:rsidRPr="00E82A7E">
              <w:rPr>
                <w:rFonts w:eastAsia="Calibri"/>
                <w:bCs/>
                <w:color w:val="131416"/>
                <w:sz w:val="22"/>
                <w:shd w:val="clear" w:color="auto" w:fill="FFFFFF"/>
                <w:lang w:eastAsia="en-US"/>
              </w:rPr>
              <w:t>.(25egz.).</w:t>
            </w:r>
            <w:r w:rsidRPr="00E82A7E">
              <w:rPr>
                <w:rFonts w:ascii="Arial" w:eastAsia="Calibri" w:hAnsi="Arial" w:cs="Arial"/>
                <w:b/>
                <w:bCs/>
                <w:color w:val="131416"/>
                <w:sz w:val="17"/>
                <w:szCs w:val="17"/>
                <w:shd w:val="clear" w:color="auto" w:fill="FFFFFF"/>
                <w:lang w:eastAsia="en-US"/>
              </w:rPr>
              <w:t xml:space="preserve"> </w:t>
            </w:r>
          </w:p>
          <w:p w:rsidR="00E82A7E" w:rsidRPr="00E82A7E" w:rsidRDefault="00E82A7E" w:rsidP="00E82A7E">
            <w:pPr>
              <w:spacing w:after="200" w:line="330" w:lineRule="atLeast"/>
              <w:ind w:left="0" w:firstLine="0"/>
              <w:rPr>
                <w:rFonts w:ascii="Arial" w:hAnsi="Arial" w:cs="Arial"/>
                <w:b/>
                <w:bCs/>
                <w:color w:val="999999"/>
                <w:sz w:val="17"/>
                <w:szCs w:val="17"/>
              </w:rPr>
            </w:pPr>
          </w:p>
          <w:p w:rsidR="00E82A7E" w:rsidRPr="00E82A7E" w:rsidRDefault="00E82A7E" w:rsidP="00E82A7E">
            <w:pPr>
              <w:shd w:val="clear" w:color="auto" w:fill="FFFFFF"/>
              <w:spacing w:after="0" w:line="240" w:lineRule="auto"/>
              <w:ind w:left="0" w:firstLine="0"/>
              <w:jc w:val="left"/>
              <w:textAlignment w:val="baseline"/>
              <w:rPr>
                <w:color w:val="auto"/>
                <w:sz w:val="22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  <w:tc>
          <w:tcPr>
            <w:tcW w:w="850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  <w:tc>
          <w:tcPr>
            <w:tcW w:w="1135" w:type="dxa"/>
          </w:tcPr>
          <w:p w:rsidR="00E82A7E" w:rsidRPr="00E82A7E" w:rsidRDefault="00E82A7E" w:rsidP="00E82A7E">
            <w:pPr>
              <w:spacing w:after="0" w:line="240" w:lineRule="auto"/>
              <w:ind w:left="0" w:firstLine="0"/>
              <w:jc w:val="left"/>
              <w:rPr>
                <w:rFonts w:eastAsia="Calibri" w:cs="Arial"/>
                <w:color w:val="auto"/>
                <w:sz w:val="22"/>
                <w:lang w:eastAsia="en-US"/>
              </w:rPr>
            </w:pPr>
          </w:p>
        </w:tc>
      </w:tr>
    </w:tbl>
    <w:p w:rsidR="006D5AA0" w:rsidRDefault="006D5AA0" w:rsidP="006D5AA0">
      <w:pPr>
        <w:spacing w:after="0" w:line="259" w:lineRule="auto"/>
        <w:ind w:left="1282" w:firstLine="0"/>
        <w:jc w:val="left"/>
        <w:rPr>
          <w:b/>
          <w:szCs w:val="24"/>
        </w:rPr>
      </w:pPr>
    </w:p>
    <w:p w:rsidR="006D5AA0" w:rsidRPr="006D5AA0" w:rsidRDefault="006D5AA0" w:rsidP="006D5AA0">
      <w:pPr>
        <w:spacing w:after="0" w:line="259" w:lineRule="auto"/>
        <w:jc w:val="left"/>
        <w:rPr>
          <w:b/>
          <w:szCs w:val="24"/>
        </w:rPr>
      </w:pPr>
    </w:p>
    <w:p w:rsidR="006D5AA0" w:rsidRDefault="006D5AA0" w:rsidP="005C64D2">
      <w:pPr>
        <w:spacing w:after="0" w:line="259" w:lineRule="auto"/>
        <w:ind w:left="1282" w:firstLine="0"/>
        <w:jc w:val="left"/>
        <w:rPr>
          <w:b/>
          <w:szCs w:val="24"/>
        </w:rPr>
      </w:pPr>
    </w:p>
    <w:p w:rsidR="00CF2A9C" w:rsidRDefault="00CF2A9C" w:rsidP="00CF2A9C">
      <w:pPr>
        <w:spacing w:after="0" w:line="259" w:lineRule="auto"/>
        <w:ind w:left="1282" w:firstLine="0"/>
        <w:jc w:val="left"/>
        <w:rPr>
          <w:b/>
          <w:szCs w:val="24"/>
        </w:rPr>
      </w:pPr>
    </w:p>
    <w:p w:rsidR="00FA7799" w:rsidRDefault="00FA7799">
      <w:pPr>
        <w:spacing w:after="0" w:line="259" w:lineRule="auto"/>
        <w:ind w:left="0" w:firstLine="0"/>
        <w:jc w:val="left"/>
      </w:pPr>
      <w:bookmarkStart w:id="0" w:name="_GoBack"/>
      <w:bookmarkEnd w:id="0"/>
    </w:p>
    <w:p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..................................., dnia ...........................                    </w:t>
      </w:r>
      <w:r w:rsidR="00272F22">
        <w:rPr>
          <w:sz w:val="22"/>
        </w:rPr>
        <w:t xml:space="preserve">                                         </w:t>
      </w:r>
      <w:r>
        <w:rPr>
          <w:sz w:val="22"/>
        </w:rPr>
        <w:t xml:space="preserve">.................................................................... </w:t>
      </w:r>
    </w:p>
    <w:p w:rsidR="00FA7799" w:rsidRDefault="00272F22" w:rsidP="001038ED">
      <w:pPr>
        <w:spacing w:after="0" w:line="259" w:lineRule="auto"/>
        <w:ind w:left="4956" w:firstLine="0"/>
        <w:jc w:val="left"/>
      </w:pPr>
      <w:r>
        <w:rPr>
          <w:i/>
          <w:sz w:val="16"/>
        </w:rPr>
        <w:t xml:space="preserve">                                                                  </w:t>
      </w:r>
      <w:r w:rsidR="001038ED" w:rsidRPr="001038ED">
        <w:rPr>
          <w:i/>
          <w:sz w:val="16"/>
        </w:rPr>
        <w:t xml:space="preserve">podpis osoby upoważnionej do reprezentacji          </w:t>
      </w:r>
      <w:r w:rsidR="001038ED">
        <w:rPr>
          <w:i/>
          <w:sz w:val="16"/>
        </w:rPr>
        <w:t xml:space="preserve">                                   </w:t>
      </w:r>
      <w:r w:rsidR="001038ED" w:rsidRPr="001038ED">
        <w:rPr>
          <w:i/>
          <w:sz w:val="16"/>
        </w:rPr>
        <w:t>Wykonawcy</w:t>
      </w:r>
      <w:r w:rsidR="001B2112">
        <w:rPr>
          <w:sz w:val="20"/>
        </w:rPr>
        <w:t xml:space="preserve"> </w:t>
      </w:r>
    </w:p>
    <w:p w:rsidR="00FA7799" w:rsidRDefault="001B2112">
      <w:pPr>
        <w:spacing w:after="27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sectPr w:rsidR="00FA7799" w:rsidSect="00E82A7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6836" w:h="11904" w:orient="landscape"/>
      <w:pgMar w:top="1133" w:right="1660" w:bottom="1068" w:left="77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2D0" w:rsidRDefault="006242D0">
      <w:pPr>
        <w:spacing w:after="0" w:line="240" w:lineRule="auto"/>
      </w:pPr>
      <w:r>
        <w:separator/>
      </w:r>
    </w:p>
  </w:endnote>
  <w:endnote w:type="continuationSeparator" w:id="0">
    <w:p w:rsidR="006242D0" w:rsidRDefault="0062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4D2" w:rsidRPr="00FC05E4" w:rsidRDefault="005C64D2" w:rsidP="005C64D2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5C64D2" w:rsidRDefault="005C64D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138" w:rsidRPr="00FC05E4" w:rsidRDefault="00203138" w:rsidP="00203138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203138" w:rsidRDefault="002031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2D0" w:rsidRDefault="006242D0">
      <w:pPr>
        <w:spacing w:after="0" w:line="240" w:lineRule="auto"/>
      </w:pPr>
      <w:r>
        <w:separator/>
      </w:r>
    </w:p>
  </w:footnote>
  <w:footnote w:type="continuationSeparator" w:id="0">
    <w:p w:rsidR="006242D0" w:rsidRDefault="00624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17D58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523A520" wp14:editId="7382BD0D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4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5C64D2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799B824C" wp14:editId="5DE29113">
          <wp:extent cx="5760720" cy="594229"/>
          <wp:effectExtent l="0" t="0" r="0" b="0"/>
          <wp:docPr id="5" name="Obraz 5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03138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57E45C4B" wp14:editId="6EB593A4">
          <wp:extent cx="7248525" cy="655296"/>
          <wp:effectExtent l="0" t="0" r="0" b="0"/>
          <wp:docPr id="6" name="Obraz 6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1981" cy="65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  <w:p w:rsidR="00217D58" w:rsidRDefault="00217D58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2A00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24EC6"/>
    <w:multiLevelType w:val="hybridMultilevel"/>
    <w:tmpl w:val="DC2ABF2C"/>
    <w:lvl w:ilvl="0" w:tplc="45AEB6D6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">
    <w:nsid w:val="0F6F45DD"/>
    <w:multiLevelType w:val="hybridMultilevel"/>
    <w:tmpl w:val="EFA8C544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4">
    <w:nsid w:val="13107D06"/>
    <w:multiLevelType w:val="hybridMultilevel"/>
    <w:tmpl w:val="A102669A"/>
    <w:lvl w:ilvl="0" w:tplc="45AEB6D6">
      <w:start w:val="1"/>
      <w:numFmt w:val="bullet"/>
      <w:lvlText w:val=""/>
      <w:lvlJc w:val="left"/>
      <w:pPr>
        <w:ind w:left="99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492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A7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A29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CFF7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20D3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442F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4A9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F12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C3C6F88"/>
    <w:multiLevelType w:val="hybridMultilevel"/>
    <w:tmpl w:val="ED125A28"/>
    <w:lvl w:ilvl="0" w:tplc="17B03C6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CC9B36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A7338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CAD4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64E88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EAE4C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CF7E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25DB6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1D5C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DD34F0A"/>
    <w:multiLevelType w:val="hybridMultilevel"/>
    <w:tmpl w:val="BBD21202"/>
    <w:lvl w:ilvl="0" w:tplc="45AEB6D6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7">
    <w:nsid w:val="214D3A2B"/>
    <w:multiLevelType w:val="hybridMultilevel"/>
    <w:tmpl w:val="A44C910A"/>
    <w:lvl w:ilvl="0" w:tplc="995CF0EC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0BE70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8978E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6BD68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07440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28EE0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1848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E737A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0EE6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2990BB4"/>
    <w:multiLevelType w:val="hybridMultilevel"/>
    <w:tmpl w:val="7696D910"/>
    <w:lvl w:ilvl="0" w:tplc="BF3AA84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65A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E445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4283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61A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EF20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AC57A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E211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87F1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4253EA"/>
    <w:multiLevelType w:val="hybridMultilevel"/>
    <w:tmpl w:val="0DC249C8"/>
    <w:lvl w:ilvl="0" w:tplc="45AEB6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A777A9"/>
    <w:multiLevelType w:val="hybridMultilevel"/>
    <w:tmpl w:val="E36C32D8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1">
    <w:nsid w:val="27872623"/>
    <w:multiLevelType w:val="multilevel"/>
    <w:tmpl w:val="3FB8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CE4FE0"/>
    <w:multiLevelType w:val="multilevel"/>
    <w:tmpl w:val="2FB0C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3">
    <w:nsid w:val="2B256B31"/>
    <w:multiLevelType w:val="hybridMultilevel"/>
    <w:tmpl w:val="019C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AD3890"/>
    <w:multiLevelType w:val="multilevel"/>
    <w:tmpl w:val="569E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247117"/>
    <w:multiLevelType w:val="hybridMultilevel"/>
    <w:tmpl w:val="BCBCF4C4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E84770"/>
    <w:multiLevelType w:val="hybridMultilevel"/>
    <w:tmpl w:val="CE2C2260"/>
    <w:lvl w:ilvl="0" w:tplc="FF96CF78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80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E5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1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E8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40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29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6441520"/>
    <w:multiLevelType w:val="multilevel"/>
    <w:tmpl w:val="43161A26"/>
    <w:lvl w:ilvl="0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BFD1AB9"/>
    <w:multiLevelType w:val="hybridMultilevel"/>
    <w:tmpl w:val="E1F64E36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3C901936"/>
    <w:multiLevelType w:val="hybridMultilevel"/>
    <w:tmpl w:val="BC40715C"/>
    <w:lvl w:ilvl="0" w:tplc="507E446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6BDDC">
      <w:start w:val="1"/>
      <w:numFmt w:val="bullet"/>
      <w:lvlText w:val="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20B8E">
      <w:start w:val="1"/>
      <w:numFmt w:val="bullet"/>
      <w:lvlText w:val="▪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A8886">
      <w:start w:val="1"/>
      <w:numFmt w:val="bullet"/>
      <w:lvlText w:val="•"/>
      <w:lvlJc w:val="left"/>
      <w:pPr>
        <w:ind w:left="2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A136">
      <w:start w:val="1"/>
      <w:numFmt w:val="bullet"/>
      <w:lvlText w:val="o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37B8">
      <w:start w:val="1"/>
      <w:numFmt w:val="bullet"/>
      <w:lvlText w:val="▪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A3746">
      <w:start w:val="1"/>
      <w:numFmt w:val="bullet"/>
      <w:lvlText w:val="•"/>
      <w:lvlJc w:val="left"/>
      <w:pPr>
        <w:ind w:left="4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AF816">
      <w:start w:val="1"/>
      <w:numFmt w:val="bullet"/>
      <w:lvlText w:val="o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EB1D6">
      <w:start w:val="1"/>
      <w:numFmt w:val="bullet"/>
      <w:lvlText w:val="▪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9366B5D"/>
    <w:multiLevelType w:val="hybridMultilevel"/>
    <w:tmpl w:val="28246780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013B2"/>
    <w:multiLevelType w:val="hybridMultilevel"/>
    <w:tmpl w:val="B0065A94"/>
    <w:lvl w:ilvl="0" w:tplc="4FB6600C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29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81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4C1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9A0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4B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8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8E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8C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CB56FBB"/>
    <w:multiLevelType w:val="hybridMultilevel"/>
    <w:tmpl w:val="E57E9BA4"/>
    <w:lvl w:ilvl="0" w:tplc="45AEB6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DE16478"/>
    <w:multiLevelType w:val="hybridMultilevel"/>
    <w:tmpl w:val="28C0ABE2"/>
    <w:lvl w:ilvl="0" w:tplc="B21C69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766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AC4E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2FC5E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6E046">
      <w:start w:val="1"/>
      <w:numFmt w:val="bullet"/>
      <w:lvlRestart w:val="0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04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238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8C41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6CB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EA02163"/>
    <w:multiLevelType w:val="hybridMultilevel"/>
    <w:tmpl w:val="FCCA5530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5">
    <w:nsid w:val="4F506889"/>
    <w:multiLevelType w:val="hybridMultilevel"/>
    <w:tmpl w:val="46C0865C"/>
    <w:lvl w:ilvl="0" w:tplc="04B28FE8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80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03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5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22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A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62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5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00809FE"/>
    <w:multiLevelType w:val="multilevel"/>
    <w:tmpl w:val="26F4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823F84"/>
    <w:multiLevelType w:val="hybridMultilevel"/>
    <w:tmpl w:val="CCB02B8E"/>
    <w:lvl w:ilvl="0" w:tplc="6890BAA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83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B40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81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00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9E2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82E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A4C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86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6A36E77"/>
    <w:multiLevelType w:val="hybridMultilevel"/>
    <w:tmpl w:val="1F24242C"/>
    <w:lvl w:ilvl="0" w:tplc="1D025FDA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2B3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D7F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EA7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CCEA7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DC2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4F4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F7E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95E3420"/>
    <w:multiLevelType w:val="hybridMultilevel"/>
    <w:tmpl w:val="BF1AB9BE"/>
    <w:lvl w:ilvl="0" w:tplc="48CAE536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81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E2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0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0B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05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0D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28E2E4A"/>
    <w:multiLevelType w:val="multilevel"/>
    <w:tmpl w:val="EC76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772297"/>
    <w:multiLevelType w:val="hybridMultilevel"/>
    <w:tmpl w:val="8520A748"/>
    <w:lvl w:ilvl="0" w:tplc="EEF0F16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6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7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86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2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C3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6F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1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90408A7"/>
    <w:multiLevelType w:val="hybridMultilevel"/>
    <w:tmpl w:val="AB4CF478"/>
    <w:lvl w:ilvl="0" w:tplc="46DA7E10">
      <w:start w:val="2"/>
      <w:numFmt w:val="bullet"/>
      <w:lvlText w:val="•"/>
      <w:lvlJc w:val="left"/>
      <w:pPr>
        <w:ind w:left="75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3">
    <w:nsid w:val="705700E7"/>
    <w:multiLevelType w:val="hybridMultilevel"/>
    <w:tmpl w:val="843ED2C2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FE15A3"/>
    <w:multiLevelType w:val="multilevel"/>
    <w:tmpl w:val="6F8C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020EA5"/>
    <w:multiLevelType w:val="hybridMultilevel"/>
    <w:tmpl w:val="EC622B0E"/>
    <w:lvl w:ilvl="0" w:tplc="21F2A508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6">
    <w:nsid w:val="777C223F"/>
    <w:multiLevelType w:val="hybridMultilevel"/>
    <w:tmpl w:val="0CD6E134"/>
    <w:lvl w:ilvl="0" w:tplc="242299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F3E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0D064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2D532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86">
      <w:start w:val="1"/>
      <w:numFmt w:val="bullet"/>
      <w:lvlRestart w:val="0"/>
      <w:lvlText w:val=""/>
      <w:lvlJc w:val="left"/>
      <w:pPr>
        <w:ind w:left="1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19E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B7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FC6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B25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C8004AC"/>
    <w:multiLevelType w:val="hybridMultilevel"/>
    <w:tmpl w:val="7ACEC7BC"/>
    <w:lvl w:ilvl="0" w:tplc="EBA82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F7C1DC6"/>
    <w:multiLevelType w:val="hybridMultilevel"/>
    <w:tmpl w:val="D93C703A"/>
    <w:lvl w:ilvl="0" w:tplc="E52A231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C3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144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E52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33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00C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32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4568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8E08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5"/>
  </w:num>
  <w:num w:numId="3">
    <w:abstractNumId w:val="17"/>
  </w:num>
  <w:num w:numId="4">
    <w:abstractNumId w:val="23"/>
  </w:num>
  <w:num w:numId="5">
    <w:abstractNumId w:val="36"/>
  </w:num>
  <w:num w:numId="6">
    <w:abstractNumId w:val="28"/>
  </w:num>
  <w:num w:numId="7">
    <w:abstractNumId w:val="27"/>
  </w:num>
  <w:num w:numId="8">
    <w:abstractNumId w:val="5"/>
  </w:num>
  <w:num w:numId="9">
    <w:abstractNumId w:val="31"/>
  </w:num>
  <w:num w:numId="10">
    <w:abstractNumId w:val="8"/>
  </w:num>
  <w:num w:numId="11">
    <w:abstractNumId w:val="29"/>
  </w:num>
  <w:num w:numId="12">
    <w:abstractNumId w:val="21"/>
  </w:num>
  <w:num w:numId="13">
    <w:abstractNumId w:val="16"/>
  </w:num>
  <w:num w:numId="14">
    <w:abstractNumId w:val="7"/>
  </w:num>
  <w:num w:numId="15">
    <w:abstractNumId w:val="38"/>
  </w:num>
  <w:num w:numId="16">
    <w:abstractNumId w:val="19"/>
  </w:num>
  <w:num w:numId="17">
    <w:abstractNumId w:val="12"/>
  </w:num>
  <w:num w:numId="18">
    <w:abstractNumId w:val="2"/>
  </w:num>
  <w:num w:numId="19">
    <w:abstractNumId w:val="22"/>
  </w:num>
  <w:num w:numId="20">
    <w:abstractNumId w:val="35"/>
  </w:num>
  <w:num w:numId="21">
    <w:abstractNumId w:val="13"/>
  </w:num>
  <w:num w:numId="22">
    <w:abstractNumId w:val="33"/>
  </w:num>
  <w:num w:numId="23">
    <w:abstractNumId w:val="20"/>
  </w:num>
  <w:num w:numId="24">
    <w:abstractNumId w:val="3"/>
  </w:num>
  <w:num w:numId="25">
    <w:abstractNumId w:val="15"/>
  </w:num>
  <w:num w:numId="26">
    <w:abstractNumId w:val="10"/>
  </w:num>
  <w:num w:numId="27">
    <w:abstractNumId w:val="32"/>
  </w:num>
  <w:num w:numId="28">
    <w:abstractNumId w:val="24"/>
  </w:num>
  <w:num w:numId="29">
    <w:abstractNumId w:val="9"/>
  </w:num>
  <w:num w:numId="30">
    <w:abstractNumId w:val="6"/>
  </w:num>
  <w:num w:numId="3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7"/>
  </w:num>
  <w:num w:numId="35">
    <w:abstractNumId w:val="11"/>
  </w:num>
  <w:num w:numId="36">
    <w:abstractNumId w:val="26"/>
  </w:num>
  <w:num w:numId="37">
    <w:abstractNumId w:val="30"/>
  </w:num>
  <w:num w:numId="38">
    <w:abstractNumId w:val="34"/>
  </w:num>
  <w:num w:numId="39">
    <w:abstractNumId w:val="14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32D89"/>
    <w:rsid w:val="00036047"/>
    <w:rsid w:val="000577F5"/>
    <w:rsid w:val="000771A4"/>
    <w:rsid w:val="000B4FA7"/>
    <w:rsid w:val="000B7102"/>
    <w:rsid w:val="000C7A08"/>
    <w:rsid w:val="000D38B9"/>
    <w:rsid w:val="001038ED"/>
    <w:rsid w:val="001251EF"/>
    <w:rsid w:val="00181758"/>
    <w:rsid w:val="001A516C"/>
    <w:rsid w:val="001B2112"/>
    <w:rsid w:val="001B4408"/>
    <w:rsid w:val="001D0CC8"/>
    <w:rsid w:val="00202709"/>
    <w:rsid w:val="00203138"/>
    <w:rsid w:val="00217D58"/>
    <w:rsid w:val="00272F22"/>
    <w:rsid w:val="00274345"/>
    <w:rsid w:val="00294ADF"/>
    <w:rsid w:val="002A65BF"/>
    <w:rsid w:val="002B5222"/>
    <w:rsid w:val="002C3697"/>
    <w:rsid w:val="002D550D"/>
    <w:rsid w:val="002D5800"/>
    <w:rsid w:val="002E4FBA"/>
    <w:rsid w:val="00323AAC"/>
    <w:rsid w:val="00324DBF"/>
    <w:rsid w:val="003654C7"/>
    <w:rsid w:val="003A195C"/>
    <w:rsid w:val="003D2D92"/>
    <w:rsid w:val="004505AA"/>
    <w:rsid w:val="00487DE7"/>
    <w:rsid w:val="00494FCD"/>
    <w:rsid w:val="004A4B8F"/>
    <w:rsid w:val="004B18A3"/>
    <w:rsid w:val="004E3E1B"/>
    <w:rsid w:val="00514EE1"/>
    <w:rsid w:val="0053313C"/>
    <w:rsid w:val="00572B22"/>
    <w:rsid w:val="005A15B5"/>
    <w:rsid w:val="005A58FD"/>
    <w:rsid w:val="005A5C1A"/>
    <w:rsid w:val="005C64D2"/>
    <w:rsid w:val="0060222A"/>
    <w:rsid w:val="00610015"/>
    <w:rsid w:val="0061188A"/>
    <w:rsid w:val="00621630"/>
    <w:rsid w:val="00623749"/>
    <w:rsid w:val="006242D0"/>
    <w:rsid w:val="00635051"/>
    <w:rsid w:val="00656326"/>
    <w:rsid w:val="0068477E"/>
    <w:rsid w:val="006D5140"/>
    <w:rsid w:val="006D5AA0"/>
    <w:rsid w:val="0070212E"/>
    <w:rsid w:val="007748E5"/>
    <w:rsid w:val="007C7DBE"/>
    <w:rsid w:val="007D6086"/>
    <w:rsid w:val="007E7EE5"/>
    <w:rsid w:val="008005CB"/>
    <w:rsid w:val="00830CE8"/>
    <w:rsid w:val="00837113"/>
    <w:rsid w:val="00855102"/>
    <w:rsid w:val="00870F8A"/>
    <w:rsid w:val="008953E2"/>
    <w:rsid w:val="008B773A"/>
    <w:rsid w:val="008C3217"/>
    <w:rsid w:val="00914E90"/>
    <w:rsid w:val="00921B01"/>
    <w:rsid w:val="009364FC"/>
    <w:rsid w:val="009503BA"/>
    <w:rsid w:val="009659ED"/>
    <w:rsid w:val="00976FE4"/>
    <w:rsid w:val="009C1A0A"/>
    <w:rsid w:val="00A27E83"/>
    <w:rsid w:val="00A606C3"/>
    <w:rsid w:val="00A65EBD"/>
    <w:rsid w:val="00A7627B"/>
    <w:rsid w:val="00A8242E"/>
    <w:rsid w:val="00A84A52"/>
    <w:rsid w:val="00AB02D1"/>
    <w:rsid w:val="00AB62A1"/>
    <w:rsid w:val="00AC046A"/>
    <w:rsid w:val="00B15958"/>
    <w:rsid w:val="00B31FA0"/>
    <w:rsid w:val="00B35360"/>
    <w:rsid w:val="00B47653"/>
    <w:rsid w:val="00B53159"/>
    <w:rsid w:val="00BC075F"/>
    <w:rsid w:val="00BD11E4"/>
    <w:rsid w:val="00BD3193"/>
    <w:rsid w:val="00BE0DDF"/>
    <w:rsid w:val="00BE1C51"/>
    <w:rsid w:val="00BF2A52"/>
    <w:rsid w:val="00C1361B"/>
    <w:rsid w:val="00C348C8"/>
    <w:rsid w:val="00C43727"/>
    <w:rsid w:val="00C56646"/>
    <w:rsid w:val="00C97320"/>
    <w:rsid w:val="00CB0027"/>
    <w:rsid w:val="00CC53D0"/>
    <w:rsid w:val="00CE2A1D"/>
    <w:rsid w:val="00CF2A9C"/>
    <w:rsid w:val="00D2360A"/>
    <w:rsid w:val="00D306EC"/>
    <w:rsid w:val="00D32315"/>
    <w:rsid w:val="00DD0FCB"/>
    <w:rsid w:val="00DE3F45"/>
    <w:rsid w:val="00DF3435"/>
    <w:rsid w:val="00E16829"/>
    <w:rsid w:val="00E42FB1"/>
    <w:rsid w:val="00E82A7E"/>
    <w:rsid w:val="00EB568A"/>
    <w:rsid w:val="00EC1B09"/>
    <w:rsid w:val="00ED5C89"/>
    <w:rsid w:val="00EE7116"/>
    <w:rsid w:val="00F20B02"/>
    <w:rsid w:val="00F46D5A"/>
    <w:rsid w:val="00F81F10"/>
    <w:rsid w:val="00F9730B"/>
    <w:rsid w:val="00FA7799"/>
    <w:rsid w:val="00FB1D4A"/>
    <w:rsid w:val="00FD6F4C"/>
    <w:rsid w:val="00FE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ctest.com.pl/ksiazki-autor/Fecenec%20Diana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practest.com.pl/ksiazki-wydawnictwo/PTP/PTP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ractest.com.pl/ksiazki-autor/Kaczan%20Rados%C5%82a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ractest.com.pl/ksiazki-autor/Matczak%20Ann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ractest.com.pl/ksiazki-autor/Jaworowska%20Aleksandra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1575</Words>
  <Characters>9454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11007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4</cp:revision>
  <cp:lastPrinted>2017-01-27T08:12:00Z</cp:lastPrinted>
  <dcterms:created xsi:type="dcterms:W3CDTF">2018-06-25T11:32:00Z</dcterms:created>
  <dcterms:modified xsi:type="dcterms:W3CDTF">2018-06-25T11:53:00Z</dcterms:modified>
</cp:coreProperties>
</file>