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4E" w:rsidRPr="00FA544E" w:rsidRDefault="00FA544E" w:rsidP="00FA544E">
      <w:pPr>
        <w:widowControl w:val="0"/>
        <w:suppressAutoHyphens/>
        <w:spacing w:after="0" w:line="240" w:lineRule="auto"/>
        <w:ind w:left="357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eastAsia="pl-PL" w:bidi="hi-IN"/>
        </w:rPr>
      </w:pPr>
      <w:bookmarkStart w:id="0" w:name="_Hlk491769606"/>
      <w:bookmarkStart w:id="1" w:name="_Hlk491769664"/>
      <w:bookmarkStart w:id="2" w:name="_Toc491691947"/>
      <w:bookmarkStart w:id="3" w:name="_GoBack"/>
      <w:bookmarkEnd w:id="3"/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Załącznik nr 2 do SIWZ</w:t>
      </w:r>
      <w:bookmarkEnd w:id="2"/>
    </w:p>
    <w:p w:rsidR="00FA544E" w:rsidRPr="00FA544E" w:rsidRDefault="00FA544E" w:rsidP="00FA544E">
      <w:pPr>
        <w:widowControl w:val="0"/>
        <w:suppressAutoHyphens/>
        <w:spacing w:before="720" w:after="0" w:line="240" w:lineRule="auto"/>
        <w:ind w:right="5103"/>
        <w:jc w:val="center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………………………………………….....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ind w:right="5103"/>
        <w:jc w:val="center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(Pieczęć Wykonawcy / Wykonawców)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ind w:right="5103"/>
        <w:jc w:val="center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FORMULARZ OFERTOWY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WYKONAWCA:</w:t>
      </w:r>
    </w:p>
    <w:p w:rsidR="00FA544E" w:rsidRPr="00FA544E" w:rsidRDefault="00FA544E" w:rsidP="00FA544E">
      <w:pPr>
        <w:widowControl w:val="0"/>
        <w:suppressAutoHyphens/>
        <w:spacing w:after="120" w:line="240" w:lineRule="auto"/>
        <w:textAlignment w:val="baseline"/>
        <w:rPr>
          <w:rFonts w:ascii="Cambria" w:eastAsia="Lucida Sans Unicode" w:hAnsi="Cambria" w:cs="Mangal"/>
          <w:i/>
          <w:color w:val="00000A"/>
          <w:sz w:val="18"/>
          <w:szCs w:val="18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18"/>
          <w:szCs w:val="18"/>
          <w:lang w:eastAsia="pl-PL" w:bidi="hi-IN"/>
        </w:rPr>
        <w:t>(w przypadku składania oferty przez Wykonawców wspólnie ubiegających się o udzielenie zamówienia należy podać</w:t>
      </w:r>
      <w:r w:rsidRPr="00FA544E">
        <w:rPr>
          <w:rFonts w:ascii="Cambria" w:eastAsia="Lucida Sans Unicode" w:hAnsi="Cambria" w:cs="Mangal"/>
          <w:color w:val="00000A"/>
          <w:sz w:val="18"/>
          <w:szCs w:val="18"/>
          <w:lang w:eastAsia="pl-PL" w:bidi="hi-IN"/>
        </w:rPr>
        <w:t xml:space="preserve"> </w:t>
      </w:r>
      <w:r w:rsidRPr="00FA544E">
        <w:rPr>
          <w:rFonts w:ascii="Cambria" w:eastAsia="Lucida Sans Unicode" w:hAnsi="Cambria" w:cs="Mangal"/>
          <w:i/>
          <w:color w:val="00000A"/>
          <w:sz w:val="18"/>
          <w:szCs w:val="18"/>
          <w:lang w:eastAsia="pl-PL" w:bidi="hi-IN"/>
        </w:rPr>
        <w:t>nazwy (firmy) oraz dokładne adresy wszystkich Wykonawców)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FA544E" w:rsidRPr="00FA544E" w:rsidTr="007034E6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Nazwa: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Siedziba: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KRS: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7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reprezentowany przez: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4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Nr telefonu/faks: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5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Osoba do kontaktu: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Nr tel.: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Adres poczty elektronicznej: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</w:tbl>
    <w:p w:rsidR="00FA544E" w:rsidRPr="00FA544E" w:rsidRDefault="00FA544E" w:rsidP="00FA544E">
      <w:pPr>
        <w:widowControl w:val="0"/>
        <w:suppressAutoHyphens/>
        <w:spacing w:before="720" w:after="12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ZAMAWIAJĄCY: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Powiat Łęczyński – Starostwo Powiatowe w Łęcznej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Aleja Jana Pawła II 95A, 21-010 Łęczna</w:t>
      </w:r>
    </w:p>
    <w:p w:rsidR="00FA544E" w:rsidRPr="00FA544E" w:rsidRDefault="00FA544E" w:rsidP="00FA544E">
      <w:pPr>
        <w:widowControl w:val="0"/>
        <w:suppressAutoHyphens/>
        <w:spacing w:before="240"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Odpowiadając na ogłoszenie o przetargu nieograniczonym na:</w:t>
      </w:r>
    </w:p>
    <w:p w:rsidR="00FA544E" w:rsidRPr="00FA544E" w:rsidRDefault="00FA544E" w:rsidP="00FA544E">
      <w:pPr>
        <w:widowControl w:val="0"/>
        <w:suppressAutoHyphens/>
        <w:spacing w:before="240" w:after="240" w:line="24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sz w:val="28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sz w:val="28"/>
          <w:lang w:eastAsia="pl-PL" w:bidi="hi-IN"/>
        </w:rPr>
        <w:t>„Ubezpieczenie grupowe pracowników, współmałżonków oraz pełnoletnich pracowników Starostwa Powiatowego w Łęcznej oraz jednostek organizacyjnych Powiatu Łęczyńskiego”</w:t>
      </w:r>
    </w:p>
    <w:p w:rsidR="00FA544E" w:rsidRPr="00FA544E" w:rsidRDefault="00FA544E" w:rsidP="00FA544E">
      <w:pPr>
        <w:widowControl w:val="0"/>
        <w:tabs>
          <w:tab w:val="left" w:pos="567"/>
        </w:tabs>
        <w:spacing w:before="240" w:after="24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bookmarkStart w:id="4" w:name="_Toc456007840"/>
      <w:bookmarkStart w:id="5" w:name="_Toc456007610"/>
      <w:r w:rsidRPr="00FA544E">
        <w:rPr>
          <w:rFonts w:ascii="Cambria" w:eastAsia="Lucida Sans Unicode" w:hAnsi="Cambria" w:cs="Mangal"/>
          <w:color w:val="00000A"/>
          <w:lang w:eastAsia="pl-PL" w:bidi="hi-IN"/>
        </w:rPr>
        <w:t>oferujemy</w:t>
      </w:r>
      <w:bookmarkEnd w:id="4"/>
      <w:bookmarkEnd w:id="5"/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 wykonanie usług objętych zamówieniem, zgodnie z wymogami zawartymi w Specyfikacji Istotnych Warunków Zamówienia, za cenę łączną:</w:t>
      </w:r>
    </w:p>
    <w:p w:rsidR="00FA544E" w:rsidRPr="00FA544E" w:rsidRDefault="00FA544E" w:rsidP="00FA544E">
      <w:pPr>
        <w:widowControl w:val="0"/>
        <w:suppressAutoHyphens/>
        <w:spacing w:before="360" w:after="0" w:line="360" w:lineRule="auto"/>
        <w:jc w:val="center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..............................</w:t>
      </w: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 PLN, słownie złotych: 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>.............................................................................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Lucida Sans Unicode" w:hAnsi="Cambria" w:cs="Mangal"/>
          <w:color w:val="00000A"/>
          <w:sz w:val="20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sz w:val="20"/>
          <w:lang w:eastAsia="pl-PL" w:bidi="hi-IN"/>
        </w:rPr>
        <w:t xml:space="preserve">/usługa zwolniona z podatku VAT zgodnie z art. 43 ust. 1 pkt 37 ustawy z dnia 11 marca 2004 r. o podatku </w:t>
      </w:r>
      <w:r w:rsidRPr="00FA544E">
        <w:rPr>
          <w:rFonts w:ascii="Cambria" w:eastAsia="Lucida Sans Unicode" w:hAnsi="Cambria" w:cs="Mangal"/>
          <w:color w:val="00000A"/>
          <w:sz w:val="20"/>
          <w:lang w:eastAsia="pl-PL" w:bidi="hi-IN"/>
        </w:rPr>
        <w:lastRenderedPageBreak/>
        <w:t xml:space="preserve">od towarów i usług – </w:t>
      </w:r>
      <w:r w:rsidRPr="00FA544E">
        <w:rPr>
          <w:rFonts w:ascii="Cambria" w:eastAsia="Lucida Sans Unicode" w:hAnsi="Cambria" w:cs="Mangal"/>
          <w:bCs/>
          <w:color w:val="00000A"/>
          <w:sz w:val="20"/>
          <w:lang w:eastAsia="pl-PL" w:bidi="hi-IN"/>
        </w:rPr>
        <w:t xml:space="preserve">tekst jednolity Dz. U. z 2016 r., poz. 710 z </w:t>
      </w:r>
      <w:proofErr w:type="spellStart"/>
      <w:r w:rsidRPr="00FA544E">
        <w:rPr>
          <w:rFonts w:ascii="Cambria" w:eastAsia="Lucida Sans Unicode" w:hAnsi="Cambria" w:cs="Mangal"/>
          <w:bCs/>
          <w:color w:val="00000A"/>
          <w:sz w:val="20"/>
          <w:lang w:eastAsia="pl-PL" w:bidi="hi-IN"/>
        </w:rPr>
        <w:t>późn</w:t>
      </w:r>
      <w:proofErr w:type="spellEnd"/>
      <w:r w:rsidRPr="00FA544E">
        <w:rPr>
          <w:rFonts w:ascii="Cambria" w:eastAsia="Lucida Sans Unicode" w:hAnsi="Cambria" w:cs="Mangal"/>
          <w:bCs/>
          <w:color w:val="00000A"/>
          <w:sz w:val="20"/>
          <w:lang w:eastAsia="pl-PL" w:bidi="hi-IN"/>
        </w:rPr>
        <w:t>. zm.</w:t>
      </w:r>
      <w:r w:rsidRPr="00FA544E">
        <w:rPr>
          <w:rFonts w:ascii="Cambria" w:eastAsia="Lucida Sans Unicode" w:hAnsi="Cambria" w:cs="Mangal"/>
          <w:color w:val="00000A"/>
          <w:sz w:val="20"/>
          <w:lang w:eastAsia="pl-PL" w:bidi="hi-IN"/>
        </w:rPr>
        <w:t>/</w:t>
      </w:r>
    </w:p>
    <w:p w:rsidR="00FA544E" w:rsidRPr="00FA544E" w:rsidRDefault="00FA544E" w:rsidP="00FA544E">
      <w:pPr>
        <w:widowControl w:val="0"/>
        <w:spacing w:before="240" w:after="240" w:line="240" w:lineRule="auto"/>
        <w:jc w:val="both"/>
        <w:textAlignment w:val="baseline"/>
        <w:rPr>
          <w:rFonts w:ascii="Cambria" w:eastAsia="Lucida Sans Unicode" w:hAnsi="Cambria" w:cs="Mangal"/>
          <w:color w:val="000000"/>
          <w:lang w:bidi="hi-IN"/>
        </w:rPr>
      </w:pPr>
      <w:r w:rsidRPr="00FA544E">
        <w:rPr>
          <w:rFonts w:ascii="Cambria" w:eastAsia="Lucida Sans Unicode" w:hAnsi="Cambria" w:cs="Mangal"/>
          <w:color w:val="000000"/>
          <w:lang w:bidi="hi-IN"/>
        </w:rPr>
        <w:t>wynikającą z wypełnionego formularza cenowego, zawartego poniżej.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bidi="hi-IN"/>
        </w:rPr>
        <w:t xml:space="preserve">Termin wykonania zamówienia: 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Zamówienie publiczne należy realizować w terminie </w:t>
      </w:r>
      <w:r w:rsidRPr="00FA544E">
        <w:rPr>
          <w:rFonts w:ascii="Cambria" w:eastAsia="SimSun" w:hAnsi="Cambria" w:cs="Mangal"/>
          <w:b/>
          <w:iCs/>
          <w:color w:val="00000A"/>
          <w:sz w:val="24"/>
          <w:szCs w:val="24"/>
          <w:lang w:eastAsia="pl-PL" w:bidi="hi-IN"/>
        </w:rPr>
        <w:t xml:space="preserve">36 miesięcy. </w:t>
      </w:r>
      <w:r w:rsidRPr="00FA544E">
        <w:rPr>
          <w:rFonts w:ascii="Cambria" w:eastAsia="SimSun" w:hAnsi="Cambria" w:cs="Mangal"/>
          <w:iCs/>
          <w:color w:val="00000A"/>
          <w:sz w:val="24"/>
          <w:szCs w:val="24"/>
          <w:lang w:eastAsia="pl-PL" w:bidi="hi-IN"/>
        </w:rPr>
        <w:t xml:space="preserve">Okres wykonania zamówienia rozpocznie się nie później niż w terminie </w:t>
      </w:r>
      <w:r w:rsidRPr="00FA544E">
        <w:rPr>
          <w:rFonts w:ascii="Cambria" w:eastAsia="SimSun" w:hAnsi="Cambria" w:cs="Mangal"/>
          <w:b/>
          <w:iCs/>
          <w:color w:val="00000A"/>
          <w:sz w:val="24"/>
          <w:szCs w:val="24"/>
          <w:lang w:eastAsia="pl-PL" w:bidi="hi-IN"/>
        </w:rPr>
        <w:t>3 miesięcy</w:t>
      </w:r>
      <w:r w:rsidRPr="00FA544E">
        <w:rPr>
          <w:rFonts w:ascii="Cambria" w:eastAsia="SimSun" w:hAnsi="Cambria" w:cs="Mangal"/>
          <w:iCs/>
          <w:color w:val="00000A"/>
          <w:sz w:val="24"/>
          <w:szCs w:val="24"/>
          <w:lang w:eastAsia="pl-PL" w:bidi="hi-IN"/>
        </w:rPr>
        <w:t xml:space="preserve"> od podpisania umowy z wyłonionym Wykonawcą</w:t>
      </w: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.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bidi="hi-IN"/>
        </w:rPr>
      </w:pPr>
      <w:r w:rsidRPr="00FA544E">
        <w:rPr>
          <w:rFonts w:ascii="Cambria" w:eastAsia="Lucida Sans Unicode" w:hAnsi="Cambria" w:cs="Mangal"/>
          <w:color w:val="00000A"/>
          <w:lang w:bidi="hi-IN"/>
        </w:rPr>
        <w:t xml:space="preserve">Termin związania ofertą i warunki płatności </w:t>
      </w:r>
      <w:r w:rsidRPr="00FA544E">
        <w:rPr>
          <w:rFonts w:ascii="Cambria" w:eastAsia="Lucida Sans Unicode" w:hAnsi="Cambria" w:cs="Mangal"/>
          <w:b/>
          <w:color w:val="00000A"/>
          <w:lang w:bidi="hi-IN"/>
        </w:rPr>
        <w:t>zgodne z postanowieniami SIWZ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tbl>
      <w:tblPr>
        <w:tblW w:w="10632" w:type="dxa"/>
        <w:tblInd w:w="-52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410"/>
      </w:tblGrid>
      <w:tr w:rsidR="00FA544E" w:rsidRPr="00FA544E" w:rsidTr="007034E6">
        <w:tc>
          <w:tcPr>
            <w:tcW w:w="82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lang w:eastAsia="pl-PL" w:bidi="hi-IN"/>
              </w:rPr>
              <w:t>1. Składka miesięczna łącznie za 1 osobę – Grupa nr 1: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82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lang w:eastAsia="pl-PL" w:bidi="hi-IN"/>
              </w:rPr>
              <w:t>2. Łączna cena oferty – Grupa nr 1 (składka miesięczna łącznie za 1 osobę x 36 miesięcy x maksymalna przewidywana liczba osób – 145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82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lang w:eastAsia="pl-PL" w:bidi="hi-IN"/>
              </w:rPr>
              <w:t>3. Składka miesięczna łącznie za 1 osobę – Grupa nr 2: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82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lang w:eastAsia="pl-PL" w:bidi="hi-IN"/>
              </w:rPr>
              <w:t>4. Łączna cena oferty – Grupa nr 2 (składka miesięczna łącznie za 1 osobę x 36 miesięcy x maksymalna przewidywana liczba osób – 268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82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lang w:eastAsia="pl-PL" w:bidi="hi-IN"/>
              </w:rPr>
              <w:t>5. Składka miesięczna łącznie za 1 osobę – Grupa nr 3: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82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lang w:eastAsia="pl-PL" w:bidi="hi-IN"/>
              </w:rPr>
              <w:t>6. Łączna cena oferty – Grupa nr 3 (składka miesięczna łącznie za 1 osobę x 36 miesięcy x maksymalna przewidywana liczba osób – 100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82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lang w:eastAsia="pl-PL" w:bidi="hi-IN"/>
              </w:rPr>
              <w:t>7. Łączna cena oferty – Grupy od nr 1 oraz nr 6 (suma pozycji: 2 + 4+6)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- 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>akceptujemy następujące klauzule dodatkowe i inne postanowienia szczególne fakultatywne</w:t>
      </w:r>
    </w:p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tbl>
      <w:tblPr>
        <w:tblW w:w="5000" w:type="pct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7689"/>
        <w:gridCol w:w="1353"/>
      </w:tblGrid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  <w:t>Klauzule dodatkowe i inne postanowienia szczególne fakultatywne</w:t>
            </w:r>
          </w:p>
        </w:tc>
        <w:tc>
          <w:tcPr>
            <w:tcW w:w="135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  <w:t>Akceptacja</w:t>
            </w: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obniżenia karencji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zniesienia karencji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Definicja zawału serca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dodatkowa świadczenia z tytułu wystąpienia choroby śmiertelnej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Klauzula rozszerzająca katalog poważnych </w:t>
            </w:r>
            <w:proofErr w:type="spellStart"/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zachorowań</w:t>
            </w:r>
            <w:proofErr w:type="spellEnd"/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Ubezpieczonego 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minimalnego pobytu Ubezpieczonego w szpitalu w następstwie choroby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minimalnego pobytu Ubezpieczonego w szpitalu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rozszerzenia świadczenia z tytułu pobytu w szpitalu w wyniku choroby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rozszerzenia świadczenia z tytułu rekonwalescencji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wynagrodzenia za czynności przygotowawcze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pomocy medycznej – wariant 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pomocy medycznej – wariant rozszerzony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dodatkowej gwarancji indywidualnej kontynuacji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  <w:tr w:rsidR="00FA544E" w:rsidRPr="00FA544E" w:rsidTr="007034E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Klauzula dodatkowych zniżek indywidualnych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shd w:val="clear" w:color="auto" w:fill="FFFF00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i/>
          <w:iCs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t xml:space="preserve">W kolumnie „Akceptacja” w wierszu dotyczącym akceptowanej klauzuli lub postanowienia </w:t>
      </w: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lastRenderedPageBreak/>
        <w:t xml:space="preserve">szczególnego proszę wpisać słowo </w:t>
      </w:r>
      <w:r w:rsidRPr="00FA544E">
        <w:rPr>
          <w:rFonts w:ascii="Cambria" w:eastAsia="Lucida Sans Unicode" w:hAnsi="Cambria" w:cs="Mangal"/>
          <w:bCs/>
          <w:i/>
          <w:color w:val="00000A"/>
          <w:lang w:eastAsia="pl-PL" w:bidi="hi-IN"/>
        </w:rPr>
        <w:t>„Tak” w </w:t>
      </w: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t>przypadku przyjęcia danej klauzuli lub postanowienia szczególnego oraz słowo</w:t>
      </w:r>
      <w:r w:rsidRPr="00FA544E">
        <w:rPr>
          <w:rFonts w:ascii="Cambria" w:eastAsia="Lucida Sans Unicode" w:hAnsi="Cambria" w:cs="Mangal"/>
          <w:bCs/>
          <w:i/>
          <w:color w:val="00000A"/>
          <w:lang w:eastAsia="pl-PL" w:bidi="hi-IN"/>
        </w:rPr>
        <w:t xml:space="preserve"> „Nie” w </w:t>
      </w: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t>przypadku nie przyjęcia. Brak słowa</w:t>
      </w:r>
      <w:r w:rsidRPr="00FA544E">
        <w:rPr>
          <w:rFonts w:ascii="Cambria" w:eastAsia="Lucida Sans Unicode" w:hAnsi="Cambria" w:cs="Mangal"/>
          <w:bCs/>
          <w:i/>
          <w:color w:val="00000A"/>
          <w:lang w:eastAsia="pl-PL" w:bidi="hi-IN"/>
        </w:rPr>
        <w:t xml:space="preserve"> „Tak” </w:t>
      </w: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t xml:space="preserve">lub </w:t>
      </w:r>
      <w:r w:rsidRPr="00FA544E">
        <w:rPr>
          <w:rFonts w:ascii="Cambria" w:eastAsia="Lucida Sans Unicode" w:hAnsi="Cambria" w:cs="Mangal"/>
          <w:bCs/>
          <w:i/>
          <w:color w:val="00000A"/>
          <w:lang w:eastAsia="pl-PL" w:bidi="hi-IN"/>
        </w:rPr>
        <w:t>„Nie” uznany zostanie jako niezaakceptowanie danej klauzuli lub postanowienia szczególnego. W </w:t>
      </w:r>
      <w:r w:rsidRPr="00FA544E">
        <w:rPr>
          <w:rFonts w:ascii="Cambria" w:eastAsia="Lucida Sans Unicode" w:hAnsi="Cambria" w:cs="Mangal"/>
          <w:i/>
          <w:iCs/>
          <w:color w:val="00000A"/>
          <w:lang w:eastAsia="pl-PL" w:bidi="hi-IN"/>
        </w:rPr>
        <w:t>przypadku przyjęcia danej klauzuli lub postanowienia szczególnego, lecz w innej wersji niż podana w niniejszej specyfikacji, Zamawiający nie przyzna punktów dodatkowych.</w:t>
      </w:r>
    </w:p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- 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>oferujemy następujące wysokości świadczeń:</w:t>
      </w:r>
    </w:p>
    <w:p w:rsidR="00FA544E" w:rsidRPr="00FA544E" w:rsidRDefault="00FA544E" w:rsidP="00FA544E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i/>
          <w:iCs/>
          <w:color w:val="00000A"/>
          <w:lang w:eastAsia="pl-PL" w:bidi="hi-IN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 xml:space="preserve">Zakres świadczeń – Grupa nr 1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Wymagana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minimalna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Oferowana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wysokość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świadczenia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przez Wykonawcę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highlight w:val="yellow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95 000,00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185 000,00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2 330,00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1 430,00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2 860,00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4 900,00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highlight w:val="yellow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320,00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9 400,00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7 900,00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2 800,00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Dzienne świadczenia z tytułu pobytu w szpitalu od 1 do 14 dni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69,00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180,00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Leczenie Ubezpieczonego w szpitalu w związku z doznanymi obrażeniami ciała w następstwie nieszczęśliwego wypadku w </w:t>
            </w: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lastRenderedPageBreak/>
              <w:t>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lastRenderedPageBreak/>
              <w:t>290,00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345,00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Dzienne świadczenia z tytułu pobytu w szpitalu powyżej 14 dni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69,00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color w:val="00000A"/>
          <w:lang w:eastAsia="pl-PL" w:bidi="hi-IN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Zakres świadczeń – Grupa nr 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Wymagana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minimalna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Oferowana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wysokość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świadczenia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przez Wykonawcę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highlight w:val="yellow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198 000,00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97 000,00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46 700,00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2 640,00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5 800,00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1 600,00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4 600,00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6 650,00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highlight w:val="yellow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9 100,00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Poważne zachorowanie dziecka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Dzienne świadczenia z tytułu pobytu w szpitalu od 1 do 14 dni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Leczenie Ubezpieczonego w szpitalu w związku z doznanymi </w:t>
            </w: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lastRenderedPageBreak/>
              <w:t>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lastRenderedPageBreak/>
              <w:t>440,00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Dzienne świadczenia z tytułu pobytu w szpitalu powyżej 14 dni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color w:val="00000A"/>
          <w:sz w:val="20"/>
          <w:lang w:eastAsia="pl-PL" w:bidi="hi-IN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Zakres świadczeń – Grupa nr 3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Wymagana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minimalna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Oferowana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wysokość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świadczenia</w:t>
            </w:r>
          </w:p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przez Wykonawcę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highlight w:val="yellow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198 000,00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97 000,00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46 700,00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2 640,00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5 800,00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6 650,00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highlight w:val="yellow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11 000,00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9 100,00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Poważne zachorowanie dziecka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750,00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Dzienne świadczenia z tytułu pobytu w szpitalu od 1 do 14 dni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lastRenderedPageBreak/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540,00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Dzienne świadczenia z tytułu pobytu w szpitalu powyżej 14 dni</w:t>
            </w: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85,00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370,00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color w:val="00000A"/>
          <w:sz w:val="20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i/>
          <w:color w:val="00000A"/>
          <w:sz w:val="20"/>
          <w:lang w:eastAsia="pl-PL" w:bidi="hi-IN"/>
        </w:rPr>
      </w:pPr>
      <w:r w:rsidRPr="00FA544E">
        <w:rPr>
          <w:rFonts w:ascii="Times New Roman" w:eastAsia="Lucida Sans Unicode" w:hAnsi="Times New Roman" w:cs="Mangal"/>
          <w:i/>
          <w:color w:val="00000A"/>
          <w:sz w:val="20"/>
          <w:lang w:eastAsia="pl-PL" w:bidi="hi-IN"/>
        </w:rPr>
        <w:t xml:space="preserve">Uwaga: W kolumnie „Oferowana wysokość sumy ubezpieczenia” w wierszu dotyczącym danej Grupy należy wpisać wartość proponowanej sumy ubezpieczenia. Brak wpisanej wartości sumy ubezpieczenia oznacza zaakceptowanie wartości minimalnej. Wpisanie wartości niższej niż wymagana minimalna wysokość sumy ubezpieczenia w danej pozycji będzie oznaczało niezaakceptowanie warunku obligatoryjnego, a tym samych oferta będzie podlegała odrzuceniu. </w:t>
      </w:r>
    </w:p>
    <w:p w:rsidR="00FA544E" w:rsidRPr="00FA544E" w:rsidRDefault="00FA544E" w:rsidP="00FA544E">
      <w:pPr>
        <w:widowControl w:val="0"/>
        <w:suppressAutoHyphens/>
        <w:spacing w:before="1200" w:after="0" w:line="240" w:lineRule="auto"/>
        <w:ind w:left="5103" w:right="-1"/>
        <w:jc w:val="both"/>
        <w:textAlignment w:val="baseline"/>
        <w:rPr>
          <w:rFonts w:ascii="Cambria" w:eastAsia="Lucida Sans Unicode" w:hAnsi="Cambria" w:cs="Mangal"/>
          <w:color w:val="00000A"/>
          <w:sz w:val="16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………………………………………………………………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ind w:left="5103" w:right="-1"/>
        <w:jc w:val="center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(podpis(y) osób uprawnionych do reprezentowania Wykonawcy zgodnie z dokumentami rejestrowymi lub wskazanych w pełnomocnictwie)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……………………….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, dnia </w:t>
      </w:r>
      <w:r w:rsidRPr="00FA544E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………………………………..…..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ind w:left="993" w:right="-1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(miejscowość i data)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b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Oświadczamy, że: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zapoznaliśmy się ze Specyfikacją Istotnych Warunków Zamówienia i nie wnosimy do niej zastrzeżeń,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zdobyliśmy konieczne informacje dotyczące realizacji zamówienia oraz przygotowania i złożenia oferty,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uważamy się związani niniejszą ofertą przez okres wskazany przez Zamawiającego w Specyfikacji Istotnych Warunków Zamówienia,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wybór niniejszej oferty </w:t>
      </w:r>
      <w:r w:rsidRPr="00FA544E">
        <w:rPr>
          <w:rFonts w:ascii="Cambria" w:eastAsia="Lucida Sans Unicode" w:hAnsi="Cambria" w:cs="Mangal"/>
          <w:b/>
          <w:i/>
          <w:color w:val="00000A"/>
          <w:lang w:eastAsia="pl-PL" w:bidi="hi-IN"/>
        </w:rPr>
        <w:t>(*niewłaściwe skreślić</w:t>
      </w: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)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- nie będzie prowadzić do powstania u Zamawiającego obowiązku podatkowego;*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- będzie prowadzić do powstania u Zamawiającego obowiązku podatkowego w następującym zakresie:* ……………………………………………………………………………………………………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sz w:val="18"/>
          <w:lang w:eastAsia="pl-PL" w:bidi="hi-IN"/>
        </w:rPr>
      </w:pPr>
      <w:r w:rsidRPr="00FA544E">
        <w:rPr>
          <w:rFonts w:ascii="Cambria" w:eastAsia="Lucida Sans Unicode" w:hAnsi="Cambria" w:cs="Mangal"/>
          <w:i/>
          <w:iCs/>
          <w:color w:val="00000A"/>
          <w:sz w:val="20"/>
          <w:szCs w:val="24"/>
          <w:lang w:eastAsia="pl-PL" w:bidi="hi-IN"/>
        </w:rPr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  <w:r w:rsidRPr="00FA544E">
        <w:rPr>
          <w:rFonts w:ascii="Cambria" w:eastAsia="Lucida Sans Unicode" w:hAnsi="Cambria" w:cs="Mangal"/>
          <w:color w:val="00000A"/>
          <w:sz w:val="18"/>
          <w:lang w:eastAsia="pl-PL" w:bidi="hi-IN"/>
        </w:rPr>
        <w:t xml:space="preserve"> )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wyrażamy zgodę na przyjęcie wszystkich warunków wymaganych przez Zamawiającego dla poszczególnych </w:t>
      </w:r>
      <w:proofErr w:type="spellStart"/>
      <w:r w:rsidRPr="00FA544E">
        <w:rPr>
          <w:rFonts w:ascii="Cambria" w:eastAsia="Lucida Sans Unicode" w:hAnsi="Cambria" w:cs="Mangal"/>
          <w:color w:val="00000A"/>
          <w:lang w:eastAsia="pl-PL" w:bidi="hi-IN"/>
        </w:rPr>
        <w:t>ryzyk</w:t>
      </w:r>
      <w:proofErr w:type="spellEnd"/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 ubezpieczeniowych wymienionych w specyfikacji,</w:t>
      </w: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lastRenderedPageBreak/>
        <w:t>zamierzamy*/ nie zamierzamy* powierzyć podwykonawcom usług, objętych przedmiotem zamówienia;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textAlignment w:val="baseline"/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  <w:t>* niepotrzebne skreślić</w:t>
      </w: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zamierzamy powierzyć wymienionym poniżej podwykonawcom następujący zakres usług, objętych przedmiotem zamówienia (wypełniają Wykonawcy, którzy deklarują taki zamiar):</w:t>
      </w:r>
    </w:p>
    <w:p w:rsidR="00FA544E" w:rsidRPr="00FA544E" w:rsidRDefault="00FA544E" w:rsidP="00FA544E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6"/>
        <w:gridCol w:w="4173"/>
        <w:gridCol w:w="4193"/>
      </w:tblGrid>
      <w:tr w:rsidR="00FA544E" w:rsidRPr="00FA544E" w:rsidTr="007034E6">
        <w:trPr>
          <w:trHeight w:val="6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  <w:t>L.p.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  <w:t>Powierzany podwykonawcom zakres usług ubezpieczeniowych</w:t>
            </w: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  <w:t>Podwykonawca (firma)</w:t>
            </w:r>
          </w:p>
        </w:tc>
      </w:tr>
      <w:tr w:rsidR="00FA544E" w:rsidRPr="00FA544E" w:rsidTr="007034E6">
        <w:trPr>
          <w:trHeight w:val="31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544E" w:rsidRPr="00FA544E" w:rsidRDefault="00FA544E" w:rsidP="00FA544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Cambria" w:eastAsia="Lucida Sans Unicode" w:hAnsi="Cambria" w:cs="Mangal"/>
                <w:color w:val="00000A"/>
                <w:sz w:val="20"/>
                <w:szCs w:val="20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osoby wykonujące czynności administracyjne związane z wystawianiem umów ubezpieczenia oraz rozliczaniem płatności będą wykonywali pracownicy zatrudnieni na podstawie umowy o pracę</w:t>
      </w:r>
    </w:p>
    <w:p w:rsidR="00FA544E" w:rsidRPr="00FA544E" w:rsidRDefault="00FA544E" w:rsidP="00FA544E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before="120" w:after="0" w:line="240" w:lineRule="auto"/>
        <w:jc w:val="both"/>
        <w:textAlignment w:val="baseline"/>
        <w:rPr>
          <w:rFonts w:ascii="Cambria" w:eastAsia="Lucida Sans Unicode" w:hAnsi="Cambria" w:cs="Mangal"/>
          <w:i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 xml:space="preserve">Oświadczamy, że </w:t>
      </w: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t>(dotyczy wyłącznie Wykonawcy – towarzystwa ubezpieczeń wzajemnych)</w:t>
      </w:r>
    </w:p>
    <w:p w:rsidR="00FA544E" w:rsidRPr="00FA544E" w:rsidRDefault="00FA544E" w:rsidP="00FA544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statut reprezentowanego przez nas Wykonawcy – towarzystwa ubezpieczeń wzajemnych przewiduje, że towarzystwo ubezpiecza także osoby niebędące członkami towarzystwa;</w:t>
      </w:r>
    </w:p>
    <w:p w:rsidR="00FA544E" w:rsidRPr="00FA544E" w:rsidRDefault="00FA544E" w:rsidP="00FA544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FA544E" w:rsidRPr="00FA544E" w:rsidRDefault="00FA544E" w:rsidP="00FA544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zgodnie z art. 111 ust. 2 ustawy z dnia 11 września 2015 r. o działalności ubezpieczeniowej i reasekuracyjnej (Dz.U. z 2015 r., poz. 1844 ze zm.) Zamawiający nie będzie zobowiązany do pokrywania strat towarzystwa przez wnoszenie dodatkowej składki ubezpieczeniowej.</w:t>
      </w:r>
    </w:p>
    <w:p w:rsidR="00FA544E" w:rsidRPr="00FA544E" w:rsidRDefault="00FA544E" w:rsidP="00FA544E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Cambria" w:eastAsia="Lucida Sans Unicode" w:hAnsi="Cambria" w:cs="Mangal"/>
          <w:i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b/>
          <w:color w:val="00000A"/>
          <w:lang w:eastAsia="pl-PL" w:bidi="hi-IN"/>
        </w:rPr>
        <w:t>W sprawach nieuregulowanych w SIWZ i w ofercie mają zastosowanie następujące Ogólne Warunki Ubezpieczenia i szczególne warunki ubezpieczenia: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 </w:t>
      </w:r>
      <w:r w:rsidRPr="00FA544E">
        <w:rPr>
          <w:rFonts w:ascii="Cambria" w:eastAsia="Lucida Sans Unicode" w:hAnsi="Cambria" w:cs="Mangal"/>
          <w:i/>
          <w:color w:val="00000A"/>
          <w:lang w:eastAsia="pl-PL" w:bidi="hi-IN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9186" w:type="dxa"/>
        <w:tblInd w:w="39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629"/>
        <w:gridCol w:w="1959"/>
      </w:tblGrid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Lp.</w:t>
            </w:r>
          </w:p>
        </w:tc>
        <w:tc>
          <w:tcPr>
            <w:tcW w:w="662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  <w:t>Data zatwierdzenia przez Zarząd Wykonawcy</w:t>
            </w: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  <w:tr w:rsidR="00FA544E" w:rsidRPr="00FA544E" w:rsidTr="007034E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before="120"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Sposób reprezentowania Wykonawców wspólnie ubiegających się o udzielenie zamówienia (Pełnomocnik) na potrzeby niniejszego zamówienia jest następujący: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FA544E" w:rsidRPr="00FA544E" w:rsidTr="007034E6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Imię i nazwisko: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Stanowisko: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Telefon / Faks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  <w:tr w:rsidR="00FA544E" w:rsidRPr="00FA544E" w:rsidTr="007034E6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……………………………………………………………………..</w:t>
            </w:r>
          </w:p>
        </w:tc>
      </w:tr>
    </w:tbl>
    <w:p w:rsidR="00FA544E" w:rsidRPr="00FA544E" w:rsidRDefault="00FA544E" w:rsidP="00FA544E">
      <w:pPr>
        <w:widowControl w:val="0"/>
        <w:suppressAutoHyphens/>
        <w:spacing w:before="120"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Zakres:</w:t>
      </w:r>
    </w:p>
    <w:p w:rsidR="00FA544E" w:rsidRPr="00FA544E" w:rsidRDefault="00FA544E" w:rsidP="00FA544E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do reprezentowania w postępowaniu*</w:t>
      </w:r>
    </w:p>
    <w:p w:rsidR="00FA544E" w:rsidRPr="00FA544E" w:rsidRDefault="00FA544E" w:rsidP="00FA544E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do reprezentowania w postępowaniu i zawarcia umowy*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  <w:t>* niepotrzebne skreślić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20"/>
          <w:lang w:eastAsia="pl-PL" w:bidi="hi-IN"/>
        </w:rPr>
        <w:t>(wypełniają jedynie Wykonawcy składający ofertę wspólną)</w:t>
      </w:r>
    </w:p>
    <w:p w:rsidR="00FA544E" w:rsidRPr="00FA544E" w:rsidRDefault="00FA544E" w:rsidP="00FA544E">
      <w:pPr>
        <w:widowControl w:val="0"/>
        <w:suppressAutoHyphens/>
        <w:spacing w:before="120" w:after="12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Załącznikami do niniejszej oferty są następujące dokumenty :</w:t>
      </w:r>
    </w:p>
    <w:tbl>
      <w:tblPr>
        <w:tblW w:w="9072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376"/>
        <w:gridCol w:w="2131"/>
      </w:tblGrid>
      <w:tr w:rsidR="00FA544E" w:rsidRPr="00FA544E" w:rsidTr="007034E6">
        <w:trPr>
          <w:trHeight w:val="447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  <w:t>Wyszczególnienie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  <w:r w:rsidRPr="00FA544E"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  <w:t>Nr strony</w:t>
            </w:r>
          </w:p>
        </w:tc>
      </w:tr>
      <w:tr w:rsidR="00FA544E" w:rsidRPr="00FA544E" w:rsidTr="007034E6">
        <w:trPr>
          <w:trHeight w:val="334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</w:tr>
      <w:tr w:rsidR="00FA544E" w:rsidRPr="00FA544E" w:rsidTr="007034E6">
        <w:trPr>
          <w:trHeight w:val="410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</w:tr>
      <w:tr w:rsidR="00FA544E" w:rsidRPr="00FA544E" w:rsidTr="007034E6">
        <w:trPr>
          <w:trHeight w:val="416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</w:tr>
      <w:tr w:rsidR="00FA544E" w:rsidRPr="00FA544E" w:rsidTr="007034E6">
        <w:trPr>
          <w:trHeight w:val="422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</w:tr>
      <w:tr w:rsidR="00FA544E" w:rsidRPr="00FA544E" w:rsidTr="007034E6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</w:tr>
      <w:tr w:rsidR="00FA544E" w:rsidRPr="00FA544E" w:rsidTr="007034E6">
        <w:trPr>
          <w:trHeight w:val="419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A544E" w:rsidRPr="00FA544E" w:rsidRDefault="00FA544E" w:rsidP="00FA5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Lucida Sans Unicode" w:hAnsi="Cambria" w:cs="Mangal"/>
                <w:b/>
                <w:color w:val="00000A"/>
                <w:sz w:val="20"/>
                <w:szCs w:val="20"/>
                <w:lang w:eastAsia="pl-PL" w:bidi="hi-IN"/>
              </w:rPr>
            </w:pPr>
          </w:p>
        </w:tc>
      </w:tr>
    </w:tbl>
    <w:p w:rsidR="00FA544E" w:rsidRPr="00FA544E" w:rsidRDefault="00FA544E" w:rsidP="00FA544E">
      <w:pPr>
        <w:widowControl w:val="0"/>
        <w:suppressAutoHyphens/>
        <w:spacing w:before="120"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Zastrzeżenie: 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lang w:eastAsia="pl-PL" w:bidi="hi-I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FA544E" w:rsidRPr="00FA544E" w:rsidRDefault="00FA544E" w:rsidP="00FA544E">
      <w:pPr>
        <w:widowControl w:val="0"/>
        <w:suppressAutoHyphens/>
        <w:spacing w:before="840" w:after="0" w:line="240" w:lineRule="auto"/>
        <w:ind w:left="5103"/>
        <w:jc w:val="both"/>
        <w:textAlignment w:val="baseline"/>
        <w:rPr>
          <w:rFonts w:ascii="Cambria" w:eastAsia="Lucida Sans Unicode" w:hAnsi="Cambria" w:cs="Mangal"/>
          <w:color w:val="00000A"/>
          <w:sz w:val="16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………………………………………………………………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ind w:left="5103" w:right="-1"/>
        <w:jc w:val="center"/>
        <w:textAlignment w:val="baseline"/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(podpis(y) osób uprawnionych do reprezentowania Wykonawcy zgodnie z dokumentami rejestrowymi lub wskazanych w pełnomocnictwie)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……………………….</w:t>
      </w:r>
      <w:r w:rsidRPr="00FA544E">
        <w:rPr>
          <w:rFonts w:ascii="Cambria" w:eastAsia="Lucida Sans Unicode" w:hAnsi="Cambria" w:cs="Mangal"/>
          <w:color w:val="00000A"/>
          <w:lang w:eastAsia="pl-PL" w:bidi="hi-IN"/>
        </w:rPr>
        <w:t xml:space="preserve">, dnia </w:t>
      </w:r>
      <w:r w:rsidRPr="00FA544E">
        <w:rPr>
          <w:rFonts w:ascii="Cambria" w:eastAsia="Lucida Sans Unicode" w:hAnsi="Cambria" w:cs="Mangal"/>
          <w:color w:val="00000A"/>
          <w:sz w:val="16"/>
          <w:lang w:eastAsia="pl-PL" w:bidi="hi-IN"/>
        </w:rPr>
        <w:t>………………………………..…..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ind w:left="993" w:right="-1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  <w:r w:rsidRPr="00FA544E">
        <w:rPr>
          <w:rFonts w:ascii="Cambria" w:eastAsia="Lucida Sans Unicode" w:hAnsi="Cambria" w:cs="Mangal"/>
          <w:i/>
          <w:color w:val="00000A"/>
          <w:sz w:val="18"/>
          <w:lang w:eastAsia="pl-PL" w:bidi="hi-IN"/>
        </w:rPr>
        <w:t>(miejscowość i data)</w:t>
      </w: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Mangal"/>
          <w:color w:val="00000A"/>
          <w:lang w:eastAsia="pl-PL" w:bidi="hi-IN"/>
        </w:rPr>
      </w:pPr>
    </w:p>
    <w:p w:rsidR="00FA544E" w:rsidRPr="00FA544E" w:rsidRDefault="00FA544E" w:rsidP="00FA544E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bidi="hi-IN"/>
        </w:rPr>
      </w:pPr>
    </w:p>
    <w:p w:rsidR="00FA544E" w:rsidRPr="00FA544E" w:rsidRDefault="00FA544E" w:rsidP="00FA544E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bidi="hi-IN"/>
        </w:rPr>
      </w:pPr>
    </w:p>
    <w:p w:rsidR="00FA544E" w:rsidRPr="00FA544E" w:rsidRDefault="00FA544E" w:rsidP="00FA544E">
      <w:pPr>
        <w:widowControl w:val="0"/>
        <w:spacing w:after="0" w:line="240" w:lineRule="auto"/>
        <w:jc w:val="right"/>
        <w:textAlignment w:val="baseline"/>
        <w:outlineLvl w:val="0"/>
        <w:rPr>
          <w:rFonts w:ascii="Cambria" w:eastAsia="Lucida Sans Unicode" w:hAnsi="Cambria" w:cs="Mangal"/>
          <w:b/>
          <w:color w:val="00000A"/>
          <w:lang w:bidi="hi-IN"/>
        </w:rPr>
      </w:pPr>
    </w:p>
    <w:bookmarkEnd w:id="0"/>
    <w:bookmarkEnd w:id="1"/>
    <w:p w:rsidR="00F90B26" w:rsidRDefault="00FA544E"/>
    <w:sectPr w:rsidR="00F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053"/>
    <w:multiLevelType w:val="multilevel"/>
    <w:tmpl w:val="D3A4E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6C3D"/>
    <w:multiLevelType w:val="multilevel"/>
    <w:tmpl w:val="438489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29A"/>
    <w:multiLevelType w:val="multilevel"/>
    <w:tmpl w:val="045233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7F"/>
    <w:rsid w:val="004A2883"/>
    <w:rsid w:val="00514F92"/>
    <w:rsid w:val="005206A7"/>
    <w:rsid w:val="0058082D"/>
    <w:rsid w:val="00960982"/>
    <w:rsid w:val="00D60E7F"/>
    <w:rsid w:val="00E16D07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4D18-8D7F-459D-8383-1E8F5C4C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2</cp:revision>
  <dcterms:created xsi:type="dcterms:W3CDTF">2017-08-29T09:31:00Z</dcterms:created>
  <dcterms:modified xsi:type="dcterms:W3CDTF">2017-08-29T09:33:00Z</dcterms:modified>
</cp:coreProperties>
</file>